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Times New Roman" w:hAnsi="Times New Roman" w:eastAsia="楷体_GB2312"/>
          <w:sz w:val="32"/>
          <w:szCs w:val="32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关于永嘉县</w:t>
      </w:r>
      <w:r>
        <w:rPr>
          <w:rFonts w:ascii="Times New Roman" w:hAnsi="Times New Roman" w:eastAsia="方正小标宋简体"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年国民经济和社会发展计划</w:t>
      </w:r>
    </w:p>
    <w:p>
      <w:pPr>
        <w:autoSpaceDE w:val="0"/>
        <w:autoSpaceDN w:val="0"/>
        <w:spacing w:line="560" w:lineRule="exact"/>
        <w:jc w:val="center"/>
        <w:rPr>
          <w:rFonts w:ascii="Times New Roman" w:hAnsi="Times New Roman" w:eastAsia="方正小标宋简体"/>
          <w:sz w:val="44"/>
          <w:szCs w:val="44"/>
          <w:highlight w:val="none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执行情况及</w:t>
      </w:r>
      <w:r>
        <w:rPr>
          <w:rFonts w:ascii="Times New Roman" w:hAnsi="Times New Roman" w:eastAsia="方正小标宋简体"/>
          <w:sz w:val="44"/>
          <w:szCs w:val="44"/>
          <w:highlight w:val="none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年国民经济和社会发展计划</w:t>
      </w:r>
    </w:p>
    <w:p>
      <w:pPr>
        <w:autoSpaceDE w:val="0"/>
        <w:autoSpaceDN w:val="0"/>
        <w:spacing w:line="560" w:lineRule="exact"/>
        <w:jc w:val="center"/>
        <w:rPr>
          <w:rFonts w:hint="eastAsia" w:ascii="Times New Roman" w:hAnsi="Times New Roman" w:eastAsia="方正小标宋简体"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简体"/>
          <w:sz w:val="44"/>
          <w:szCs w:val="44"/>
          <w:highlight w:val="none"/>
        </w:rPr>
        <w:t>（草案）的报告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征求意见</w:t>
      </w:r>
      <w:bookmarkStart w:id="0" w:name="_GoBack"/>
      <w:bookmarkEnd w:id="0"/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val="en-US" w:eastAsia="zh-CN"/>
        </w:rPr>
        <w:t>稿</w:t>
      </w: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）</w:t>
      </w:r>
    </w:p>
    <w:p>
      <w:pPr>
        <w:adjustRightInd w:val="0"/>
        <w:snapToGrid w:val="0"/>
        <w:spacing w:line="560" w:lineRule="exact"/>
        <w:jc w:val="center"/>
        <w:rPr>
          <w:rFonts w:ascii="楷体_GB2312" w:eastAsia="楷体_GB2312" w:cs="楷体_GB2312"/>
          <w:snapToGrid w:val="0"/>
          <w:spacing w:val="-11"/>
          <w:kern w:val="0"/>
          <w:sz w:val="32"/>
          <w:szCs w:val="32"/>
          <w:highlight w:val="none"/>
        </w:rPr>
      </w:pPr>
    </w:p>
    <w:p>
      <w:pPr>
        <w:adjustRightInd w:val="0"/>
        <w:snapToGrid w:val="0"/>
        <w:spacing w:line="560" w:lineRule="exact"/>
        <w:jc w:val="center"/>
        <w:rPr>
          <w:rFonts w:ascii="楷体_GB2312" w:eastAsia="楷体_GB2312" w:cs="楷体_GB2312"/>
          <w:snapToGrid w:val="0"/>
          <w:spacing w:val="-11"/>
          <w:kern w:val="0"/>
          <w:sz w:val="32"/>
          <w:szCs w:val="32"/>
          <w:highlight w:val="none"/>
        </w:rPr>
      </w:pPr>
      <w:r>
        <w:rPr>
          <w:rFonts w:ascii="楷体_GB2312" w:eastAsia="楷体_GB2312" w:cs="楷体_GB2312"/>
          <w:snapToGrid w:val="0"/>
          <w:spacing w:val="-11"/>
          <w:kern w:val="0"/>
          <w:sz w:val="32"/>
          <w:szCs w:val="32"/>
          <w:highlight w:val="none"/>
        </w:rPr>
        <w:t>202</w:t>
      </w:r>
      <w:r>
        <w:rPr>
          <w:rFonts w:hint="eastAsia" w:ascii="楷体_GB2312" w:eastAsia="楷体_GB2312" w:cs="楷体_GB2312"/>
          <w:snapToGrid w:val="0"/>
          <w:spacing w:val="-11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楷体_GB2312" w:eastAsia="楷体_GB2312" w:cs="楷体_GB2312"/>
          <w:snapToGrid w:val="0"/>
          <w:spacing w:val="-11"/>
          <w:kern w:val="0"/>
          <w:sz w:val="32"/>
          <w:szCs w:val="32"/>
          <w:highlight w:val="none"/>
        </w:rPr>
        <w:t>年</w:t>
      </w:r>
      <w:r>
        <w:rPr>
          <w:rFonts w:ascii="楷体_GB2312" w:eastAsia="楷体_GB2312" w:cs="楷体_GB2312"/>
          <w:snapToGrid w:val="0"/>
          <w:spacing w:val="-11"/>
          <w:kern w:val="0"/>
          <w:sz w:val="32"/>
          <w:szCs w:val="32"/>
          <w:highlight w:val="none"/>
        </w:rPr>
        <w:t>2</w:t>
      </w:r>
      <w:r>
        <w:rPr>
          <w:rFonts w:hint="eastAsia" w:ascii="楷体_GB2312" w:eastAsia="楷体_GB2312" w:cs="楷体_GB2312"/>
          <w:snapToGrid w:val="0"/>
          <w:spacing w:val="-11"/>
          <w:kern w:val="0"/>
          <w:sz w:val="32"/>
          <w:szCs w:val="32"/>
          <w:highlight w:val="none"/>
        </w:rPr>
        <w:t>月</w:t>
      </w:r>
      <w:r>
        <w:rPr>
          <w:rFonts w:hint="eastAsia" w:ascii="楷体_GB2312" w:eastAsia="楷体_GB2312" w:cs="楷体_GB2312"/>
          <w:snapToGrid w:val="0"/>
          <w:spacing w:val="-11"/>
          <w:kern w:val="0"/>
          <w:sz w:val="32"/>
          <w:szCs w:val="32"/>
          <w:highlight w:val="none"/>
          <w:lang w:val="en-US" w:eastAsia="zh-CN"/>
        </w:rPr>
        <w:t>*</w:t>
      </w:r>
      <w:r>
        <w:rPr>
          <w:rFonts w:hint="eastAsia" w:ascii="楷体_GB2312" w:eastAsia="楷体_GB2312" w:cs="楷体_GB2312"/>
          <w:snapToGrid w:val="0"/>
          <w:spacing w:val="-11"/>
          <w:kern w:val="0"/>
          <w:sz w:val="32"/>
          <w:szCs w:val="32"/>
          <w:highlight w:val="none"/>
        </w:rPr>
        <w:t>日在</w:t>
      </w:r>
      <w:r>
        <w:rPr>
          <w:rFonts w:hint="eastAsia" w:ascii="楷体_GB2312" w:eastAsia="楷体_GB2312" w:cs="楷体_GB2312"/>
          <w:snapToGrid w:val="0"/>
          <w:spacing w:val="-11"/>
          <w:kern w:val="0"/>
          <w:sz w:val="32"/>
          <w:szCs w:val="32"/>
          <w:highlight w:val="none"/>
          <w:lang w:val="en-US" w:eastAsia="zh-CN"/>
        </w:rPr>
        <w:t>永嘉县</w:t>
      </w:r>
      <w:r>
        <w:rPr>
          <w:rFonts w:hint="eastAsia" w:ascii="楷体_GB2312" w:eastAsia="楷体_GB2312" w:cs="楷体_GB2312"/>
          <w:snapToGrid w:val="0"/>
          <w:spacing w:val="-11"/>
          <w:kern w:val="0"/>
          <w:sz w:val="32"/>
          <w:szCs w:val="32"/>
          <w:highlight w:val="none"/>
        </w:rPr>
        <w:t>第</w:t>
      </w:r>
      <w:r>
        <w:rPr>
          <w:rFonts w:hint="eastAsia" w:ascii="楷体_GB2312" w:eastAsia="楷体_GB2312" w:cs="楷体_GB2312"/>
          <w:snapToGrid w:val="0"/>
          <w:spacing w:val="-11"/>
          <w:kern w:val="0"/>
          <w:sz w:val="32"/>
          <w:szCs w:val="32"/>
          <w:highlight w:val="none"/>
          <w:lang w:val="en-US" w:eastAsia="zh-CN"/>
        </w:rPr>
        <w:t>十</w:t>
      </w:r>
      <w:r>
        <w:rPr>
          <w:rFonts w:hint="eastAsia" w:ascii="Times New Roman" w:hAnsi="Times New Roman" w:eastAsia="楷体_GB2312"/>
          <w:kern w:val="0"/>
          <w:sz w:val="32"/>
          <w:szCs w:val="32"/>
          <w:highlight w:val="none"/>
        </w:rPr>
        <w:t>七届人民代表大会第</w:t>
      </w:r>
      <w:r>
        <w:rPr>
          <w:rFonts w:hint="eastAsia" w:ascii="Times New Roman" w:hAnsi="Times New Roman" w:eastAsia="楷体_GB2312"/>
          <w:kern w:val="0"/>
          <w:sz w:val="32"/>
          <w:szCs w:val="32"/>
          <w:highlight w:val="none"/>
          <w:lang w:val="en-US" w:eastAsia="zh-CN"/>
        </w:rPr>
        <w:t>二</w:t>
      </w:r>
      <w:r>
        <w:rPr>
          <w:rFonts w:hint="eastAsia" w:ascii="Times New Roman" w:hAnsi="Times New Roman" w:eastAsia="楷体_GB2312"/>
          <w:kern w:val="0"/>
          <w:sz w:val="32"/>
          <w:szCs w:val="32"/>
          <w:highlight w:val="none"/>
        </w:rPr>
        <w:t>次会议上</w:t>
      </w:r>
    </w:p>
    <w:p>
      <w:pPr>
        <w:autoSpaceDE w:val="0"/>
        <w:autoSpaceDN w:val="0"/>
        <w:spacing w:line="560" w:lineRule="exact"/>
        <w:jc w:val="center"/>
        <w:rPr>
          <w:rFonts w:ascii="Times New Roman" w:hAnsi="Times New Roman" w:eastAsia="楷体_GB2312"/>
          <w:kern w:val="0"/>
          <w:sz w:val="32"/>
          <w:szCs w:val="32"/>
          <w:highlight w:val="none"/>
        </w:rPr>
      </w:pPr>
      <w:r>
        <w:rPr>
          <w:rFonts w:hint="eastAsia" w:ascii="Times New Roman" w:hAnsi="Times New Roman" w:eastAsia="楷体_GB2312"/>
          <w:kern w:val="0"/>
          <w:sz w:val="32"/>
          <w:szCs w:val="32"/>
          <w:highlight w:val="none"/>
        </w:rPr>
        <w:t>永嘉县发展和改革局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/>
        <w:spacing w:line="560" w:lineRule="exact"/>
        <w:ind w:firstLine="640" w:firstLineChars="200"/>
        <w:textAlignment w:val="auto"/>
        <w:rPr>
          <w:rFonts w:hint="eastAsia" w:ascii="Times New Roman" w:eastAsia="黑体"/>
          <w:color w:val="auto"/>
          <w:sz w:val="32"/>
          <w:szCs w:val="32"/>
          <w:highlight w:val="none"/>
        </w:rPr>
      </w:pPr>
    </w:p>
    <w:p>
      <w:pPr>
        <w:autoSpaceDE w:val="0"/>
        <w:autoSpaceDN w:val="0"/>
        <w:spacing w:line="560" w:lineRule="exact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各位代表：</w:t>
      </w:r>
    </w:p>
    <w:p>
      <w:pPr>
        <w:autoSpaceDE w:val="0"/>
        <w:autoSpaceDN w:val="0"/>
        <w:spacing w:line="560" w:lineRule="exact"/>
        <w:ind w:firstLine="640" w:firstLineChars="200"/>
        <w:rPr>
          <w:rFonts w:ascii="Times New Roman" w:hAnsi="Times New Roman" w:eastAsia="仿宋_GB2312"/>
          <w:sz w:val="32"/>
          <w:szCs w:val="32"/>
          <w:highlight w:val="none"/>
        </w:rPr>
      </w:pPr>
      <w:r>
        <w:rPr>
          <w:rFonts w:hint="eastAsia" w:ascii="Times New Roman" w:hAnsi="Times New Roman" w:eastAsia="仿宋_GB2312"/>
          <w:sz w:val="32"/>
          <w:szCs w:val="32"/>
          <w:highlight w:val="none"/>
        </w:rPr>
        <w:t>受县人民政府的委托，现向大会书面报告《永嘉县</w:t>
      </w:r>
      <w:r>
        <w:rPr>
          <w:rFonts w:ascii="Times New Roman" w:hAnsi="Times New Roman" w:eastAsia="仿宋_GB2312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年国民经济和社会发展计划执行情况与</w:t>
      </w:r>
      <w:r>
        <w:rPr>
          <w:rFonts w:ascii="Times New Roman" w:hAnsi="Times New Roman" w:eastAsia="仿宋_GB2312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仿宋_GB2312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_GB2312"/>
          <w:sz w:val="32"/>
          <w:szCs w:val="32"/>
          <w:highlight w:val="none"/>
        </w:rPr>
        <w:t>年国民经济和社会发展计划（草案）》，请予审议，并请县政协各位委员和其他列席会议人员提出意见。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</w:pPr>
      <w:r>
        <w:rPr>
          <w:rFonts w:hint="eastAsia" w:ascii="Times New Roman" w:eastAsia="黑体"/>
          <w:color w:val="auto"/>
          <w:sz w:val="32"/>
          <w:szCs w:val="32"/>
          <w:highlight w:val="none"/>
        </w:rPr>
        <w:t>一、</w:t>
      </w:r>
      <w:r>
        <w:rPr>
          <w:rFonts w:ascii="Times New Roman" w:hAnsi="Times New Roman" w:eastAsia="黑体"/>
          <w:color w:val="auto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黑体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eastAsia" w:ascii="Times New Roman" w:eastAsia="黑体"/>
          <w:color w:val="auto"/>
          <w:sz w:val="32"/>
          <w:szCs w:val="32"/>
          <w:highlight w:val="none"/>
        </w:rPr>
        <w:t>年国民经济和社会发展计划执行情况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contextualSpacing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2022年是踏上全面建设社会主义现代化国家、向第二个百年奋斗目标进军新征程的重要一年，是“十四五”规划的关键之年，也是全省共同富裕示范区建设机制创新年、改革探索年、成果展示年。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今年以来，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高举习近平新时代中国特色社会主义思想伟大旗帜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，严格贯彻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党中央、国务院关于稳住经济大盘的决策部署，坚决落实“疫情要防住、经济要稳住、发展要安全”的要求，突出稳进提质、除险保安、塑造变革，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高效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统筹推进疫情防控和经济社会发展各项工作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</w:rPr>
        <w:t>全县经济实现平稳发展，社会民生持续保障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0" w:firstLineChars="200"/>
        <w:contextualSpacing/>
        <w:textAlignment w:val="auto"/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</w:pP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39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项计划指标完成情况看，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23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项指标较好完成，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项指标暂无数据，地区生产总值、一般公共预算收入、规上工业增加值、固定资产投资、社会消费品零售总额等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项指标距离全年目标有差距。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2022年，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国内外环境复杂严峻，“三重压力”叠加俄乌冲突、疫情“两大变量”，我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经济恢复压力持续加大，尤其是二季度疫情冲击等超预期因素影响，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全县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经济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经历剧烈波动，主要指标下滑明显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。尽管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县委县政府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shd w:val="clear" w:color="auto" w:fill="auto"/>
          <w:lang w:eastAsia="zh-CN"/>
        </w:rPr>
        <w:t>及时采取了超常规举措，推动经济企稳回升，但增长缺口较难回补。</w:t>
      </w:r>
    </w:p>
    <w:p>
      <w:pPr>
        <w:spacing w:beforeLines="100" w:afterLines="50" w:line="560" w:lineRule="exact"/>
        <w:jc w:val="center"/>
        <w:rPr>
          <w:rFonts w:ascii="Times New Roman" w:hAnsi="Times New Roman"/>
          <w:b/>
          <w:color w:val="auto"/>
          <w:sz w:val="36"/>
          <w:szCs w:val="36"/>
          <w:highlight w:val="none"/>
        </w:rPr>
      </w:pPr>
      <w:r>
        <w:rPr>
          <w:rFonts w:hint="eastAsia" w:ascii="Times New Roman"/>
          <w:b/>
          <w:color w:val="auto"/>
          <w:sz w:val="36"/>
          <w:szCs w:val="36"/>
          <w:highlight w:val="none"/>
        </w:rPr>
        <w:t>永嘉县</w:t>
      </w:r>
      <w:r>
        <w:rPr>
          <w:rFonts w:ascii="Times New Roman" w:hAnsi="Times New Roman"/>
          <w:b/>
          <w:color w:val="auto"/>
          <w:sz w:val="36"/>
          <w:szCs w:val="36"/>
          <w:highlight w:val="none"/>
        </w:rPr>
        <w:t>202</w:t>
      </w:r>
      <w:r>
        <w:rPr>
          <w:rFonts w:hint="eastAsia" w:ascii="Times New Roman" w:hAnsi="Times New Roman"/>
          <w:b/>
          <w:color w:val="auto"/>
          <w:sz w:val="36"/>
          <w:szCs w:val="36"/>
          <w:highlight w:val="none"/>
          <w:lang w:val="en-US" w:eastAsia="zh-CN"/>
        </w:rPr>
        <w:t>2</w:t>
      </w:r>
      <w:r>
        <w:rPr>
          <w:rFonts w:hint="eastAsia" w:ascii="Times New Roman"/>
          <w:b/>
          <w:color w:val="auto"/>
          <w:sz w:val="36"/>
          <w:szCs w:val="36"/>
          <w:highlight w:val="none"/>
        </w:rPr>
        <w:t>年主要指标计划任务与完成情况</w:t>
      </w:r>
    </w:p>
    <w:tbl>
      <w:tblPr>
        <w:tblStyle w:val="8"/>
        <w:tblW w:w="11149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9"/>
        <w:gridCol w:w="2646"/>
        <w:gridCol w:w="1850"/>
        <w:gridCol w:w="945"/>
        <w:gridCol w:w="1800"/>
        <w:gridCol w:w="1020"/>
        <w:gridCol w:w="930"/>
        <w:gridCol w:w="127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tblHeader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类别</w:t>
            </w:r>
          </w:p>
        </w:tc>
        <w:tc>
          <w:tcPr>
            <w:tcW w:w="4496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34"/>
                <w:tab w:val="center" w:pos="1869"/>
              </w:tabs>
              <w:overflowPunct w:val="0"/>
              <w:autoSpaceDE w:val="0"/>
              <w:autoSpaceDN w:val="0"/>
              <w:jc w:val="left"/>
              <w:rPr>
                <w:rFonts w:ascii="Times New Roman" w:hAnsi="Times New Roman" w:eastAsia="黑体"/>
                <w:bCs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bCs/>
                <w:snapToGrid w:val="0"/>
                <w:color w:val="auto"/>
                <w:kern w:val="0"/>
                <w:sz w:val="24"/>
                <w:highlight w:val="none"/>
              </w:rPr>
              <w:tab/>
            </w:r>
            <w:r>
              <w:rPr>
                <w:rFonts w:ascii="Times New Roman" w:hAnsi="Times New Roman" w:eastAsia="黑体"/>
                <w:bCs/>
                <w:snapToGrid w:val="0"/>
                <w:color w:val="auto"/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黑体"/>
                <w:bCs/>
                <w:snapToGrid w:val="0"/>
                <w:color w:val="auto"/>
                <w:kern w:val="0"/>
                <w:sz w:val="24"/>
                <w:highlight w:val="none"/>
              </w:rPr>
              <w:t>指标名称</w:t>
            </w:r>
          </w:p>
        </w:tc>
        <w:tc>
          <w:tcPr>
            <w:tcW w:w="94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34"/>
                <w:tab w:val="center" w:pos="1869"/>
              </w:tabs>
              <w:overflowPunct w:val="0"/>
              <w:autoSpaceDE w:val="0"/>
              <w:autoSpaceDN w:val="0"/>
              <w:jc w:val="center"/>
              <w:rPr>
                <w:rFonts w:hint="eastAsia" w:ascii="Times New Roman" w:hAnsi="Times New Roman" w:eastAsia="黑体"/>
                <w:bCs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单位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黑体"/>
                <w:bCs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bCs/>
                <w:snapToGrid w:val="0"/>
                <w:color w:val="auto"/>
                <w:kern w:val="0"/>
                <w:sz w:val="24"/>
                <w:highlight w:val="none"/>
              </w:rPr>
              <w:t>2022</w:t>
            </w:r>
            <w:r>
              <w:rPr>
                <w:rFonts w:hint="eastAsia" w:ascii="Times New Roman" w:hAnsi="Times New Roman" w:eastAsia="黑体"/>
                <w:bCs/>
                <w:snapToGrid w:val="0"/>
                <w:color w:val="auto"/>
                <w:kern w:val="0"/>
                <w:sz w:val="24"/>
                <w:highlight w:val="none"/>
              </w:rPr>
              <w:t>年目标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hAnsi="Times New Roman" w:eastAsia="黑体"/>
                <w:bCs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实际完成</w:t>
            </w:r>
          </w:p>
        </w:tc>
        <w:tc>
          <w:tcPr>
            <w:tcW w:w="12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黑体"/>
                <w:bCs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完成情况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tblHeader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4496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94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8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color w:val="auto"/>
                <w:highlight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hAnsi="Times New Roman" w:eastAsia="黑体"/>
                <w:bCs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绝对值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hAnsi="Times New Roman" w:eastAsia="黑体"/>
                <w:bCs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黑体"/>
                <w:bCs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增速</w:t>
            </w:r>
          </w:p>
        </w:tc>
        <w:tc>
          <w:tcPr>
            <w:tcW w:w="12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hAnsi="Times New Roman" w:eastAsia="黑体"/>
                <w:bCs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经济发展</w:t>
            </w: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地区生产总值（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GDP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）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亿元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增长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7%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516.68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4.5%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全员劳动生产率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元/人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增长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7%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暂无数据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一般公共预算收入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亿元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增长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9%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35.76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-6.5%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规上工业增加值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亿元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增长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10%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87.48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4.8%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旅游业增加值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亿元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增长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9%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暂无数据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固定资产投资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亿元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增长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10%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293.10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9.2%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 xml:space="preserve"># 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高新技术产业投资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亿元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增长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12%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17.68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both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90.9%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both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479" w:leftChars="228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生态环保、城市更新和水利设施投资</w:t>
            </w:r>
          </w:p>
        </w:tc>
        <w:tc>
          <w:tcPr>
            <w:tcW w:w="94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亿元</w:t>
            </w: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31.72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22.1%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民间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项目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投资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eastAsia="zh-CN"/>
              </w:rPr>
              <w:t>（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不含房地产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eastAsia="zh-CN"/>
              </w:rPr>
              <w:t>）</w:t>
            </w:r>
          </w:p>
        </w:tc>
        <w:tc>
          <w:tcPr>
            <w:tcW w:w="94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亿元</w:t>
            </w: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87.31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6.9%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制造业投资</w:t>
            </w:r>
          </w:p>
        </w:tc>
        <w:tc>
          <w:tcPr>
            <w:tcW w:w="94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亿元</w:t>
            </w: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41.80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33.2%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交通投资</w:t>
            </w:r>
          </w:p>
        </w:tc>
        <w:tc>
          <w:tcPr>
            <w:tcW w:w="9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亿元</w:t>
            </w:r>
          </w:p>
        </w:tc>
        <w:tc>
          <w:tcPr>
            <w:tcW w:w="18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45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亿元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47.39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5.7%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社会消费品零售总额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亿元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增长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8%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260.0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3.0%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网络零售额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亿元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增长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11.5%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277.02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14.2%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 xml:space="preserve">科技创新 </w:t>
            </w: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R&amp;D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经费支出占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GDP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比重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%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达到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2.42%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2.24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-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每万人高价值发明专利拥有量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个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.4</w:t>
            </w: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3.4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-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规上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数字经济核心产业制造业增加值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亿元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增长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12%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7.34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10.1%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战略性新兴产业增加值占规上工业增加值比重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%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达到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35%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37.21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-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67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改革开放</w:t>
            </w: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货物贸易进出口额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亿元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增长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28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%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102.50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25.3%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货物贸易出口总额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亿元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增长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2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7%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99.90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25.4%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实际利用外资额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亿美元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增长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10%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0.23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37.6%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依申请政务服务办件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“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一网通办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”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%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 w:val="24"/>
                <w:highlight w:val="none"/>
                <w:cs/>
              </w:rPr>
              <w:t>达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到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90%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98.19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-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城镇常住居民人均可支配收入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增</w:t>
            </w:r>
            <w:r>
              <w:rPr>
                <w:rFonts w:hint="eastAsia" w:cs="宋体"/>
                <w:snapToGrid w:val="0"/>
                <w:color w:val="auto"/>
                <w:kern w:val="0"/>
                <w:sz w:val="24"/>
                <w:highlight w:val="none"/>
                <w:cs/>
              </w:rPr>
              <w:t>长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8.5%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左右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60206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5.6%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农村常住居民人均可支配收入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元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增</w:t>
            </w:r>
            <w:r>
              <w:rPr>
                <w:rFonts w:hint="eastAsia" w:cs="宋体"/>
                <w:snapToGrid w:val="0"/>
                <w:color w:val="auto"/>
                <w:kern w:val="0"/>
                <w:sz w:val="24"/>
                <w:highlight w:val="none"/>
                <w:cs/>
              </w:rPr>
              <w:t>长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9.5%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左右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31333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7.4%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未完成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城乡居民收入比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-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有所收窄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1.92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-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城镇新增就业人数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9000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人以上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9520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-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每千人口拥有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3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岁以下婴幼儿托位数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个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3</w:t>
            </w:r>
            <w:r>
              <w:rPr>
                <w:rFonts w:hint="eastAsia" w:cs="宋体"/>
                <w:snapToGrid w:val="0"/>
                <w:color w:val="auto"/>
                <w:kern w:val="0"/>
                <w:sz w:val="24"/>
                <w:highlight w:val="none"/>
                <w:cs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3.42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-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每千人口拥有执业（助理）医师数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个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3.31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个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3.37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-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每万老年人口拥有持证养老护理员数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人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20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人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26.61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-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人均体育场地面积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平方米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2.78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平方米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2.95</w:t>
            </w:r>
          </w:p>
        </w:tc>
        <w:tc>
          <w:tcPr>
            <w:tcW w:w="9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4.6%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亿元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GDP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生产安全事故死亡率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%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下降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15%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下降25%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67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生态环境</w:t>
            </w: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单位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GDP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能源消耗降低率</w:t>
            </w:r>
          </w:p>
        </w:tc>
        <w:tc>
          <w:tcPr>
            <w:tcW w:w="9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%</w:t>
            </w:r>
          </w:p>
        </w:tc>
        <w:tc>
          <w:tcPr>
            <w:tcW w:w="18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完成市</w:t>
            </w:r>
            <w:r>
              <w:rPr>
                <w:rFonts w:hint="eastAsia" w:cs="宋体"/>
                <w:snapToGrid w:val="0"/>
                <w:color w:val="auto"/>
                <w:kern w:val="0"/>
                <w:sz w:val="24"/>
                <w:highlight w:val="none"/>
                <w:cs/>
              </w:rPr>
              <w:t>级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下</w:t>
            </w:r>
            <w:r>
              <w:rPr>
                <w:rFonts w:hint="eastAsia" w:cs="宋体"/>
                <w:snapToGrid w:val="0"/>
                <w:color w:val="auto"/>
                <w:kern w:val="0"/>
                <w:sz w:val="24"/>
                <w:highlight w:val="none"/>
                <w:cs/>
              </w:rPr>
              <w:t>达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目标</w:t>
            </w:r>
          </w:p>
        </w:tc>
        <w:tc>
          <w:tcPr>
            <w:tcW w:w="195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暂无数据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shd w:val="clear" w:color="FFFFFF" w:fill="D9D9D9"/>
              </w:rPr>
            </w:pP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单位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GDP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二氧化碳排放量降低率</w:t>
            </w:r>
          </w:p>
        </w:tc>
        <w:tc>
          <w:tcPr>
            <w:tcW w:w="94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%</w:t>
            </w: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95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暂无数据</w:t>
            </w:r>
          </w:p>
        </w:tc>
        <w:tc>
          <w:tcPr>
            <w:tcW w:w="12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shd w:val="clear" w:color="FFFFFF" w:fill="D9D9D9"/>
              </w:rPr>
            </w:pPr>
          </w:p>
        </w:tc>
        <w:tc>
          <w:tcPr>
            <w:tcW w:w="26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主要污染物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减排量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化学需氧量</w:t>
            </w:r>
          </w:p>
        </w:tc>
        <w:tc>
          <w:tcPr>
            <w:tcW w:w="94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吨</w:t>
            </w:r>
          </w:p>
        </w:tc>
        <w:tc>
          <w:tcPr>
            <w:tcW w:w="180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完成市</w:t>
            </w:r>
            <w:r>
              <w:rPr>
                <w:rFonts w:hint="eastAsia" w:cs="宋体"/>
                <w:snapToGrid w:val="0"/>
                <w:color w:val="auto"/>
                <w:kern w:val="0"/>
                <w:sz w:val="24"/>
                <w:highlight w:val="none"/>
                <w:cs/>
              </w:rPr>
              <w:t>级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下</w:t>
            </w:r>
            <w:r>
              <w:rPr>
                <w:rFonts w:hint="eastAsia" w:cs="宋体"/>
                <w:snapToGrid w:val="0"/>
                <w:color w:val="auto"/>
                <w:kern w:val="0"/>
                <w:sz w:val="24"/>
                <w:highlight w:val="none"/>
                <w:cs/>
              </w:rPr>
              <w:t>达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目标</w:t>
            </w:r>
          </w:p>
        </w:tc>
        <w:tc>
          <w:tcPr>
            <w:tcW w:w="195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已完成目标</w:t>
            </w:r>
          </w:p>
        </w:tc>
        <w:tc>
          <w:tcPr>
            <w:tcW w:w="12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shd w:val="clear" w:color="FFFFFF" w:fill="D9D9D9"/>
              </w:rPr>
            </w:pPr>
          </w:p>
        </w:tc>
        <w:tc>
          <w:tcPr>
            <w:tcW w:w="2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氨氮</w:t>
            </w:r>
          </w:p>
        </w:tc>
        <w:tc>
          <w:tcPr>
            <w:tcW w:w="94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吨</w:t>
            </w: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95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已完成目标</w:t>
            </w:r>
          </w:p>
        </w:tc>
        <w:tc>
          <w:tcPr>
            <w:tcW w:w="12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shd w:val="clear" w:color="FFFFFF" w:fill="D9D9D9"/>
              </w:rPr>
            </w:pPr>
          </w:p>
        </w:tc>
        <w:tc>
          <w:tcPr>
            <w:tcW w:w="26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挥发性有机物</w:t>
            </w:r>
          </w:p>
        </w:tc>
        <w:tc>
          <w:tcPr>
            <w:tcW w:w="94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吨</w:t>
            </w: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95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已完成目标</w:t>
            </w:r>
          </w:p>
        </w:tc>
        <w:tc>
          <w:tcPr>
            <w:tcW w:w="12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shd w:val="clear" w:color="FFFFFF" w:fill="D9D9D9"/>
              </w:rPr>
            </w:pPr>
          </w:p>
        </w:tc>
        <w:tc>
          <w:tcPr>
            <w:tcW w:w="26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氮氧化物</w:t>
            </w:r>
          </w:p>
        </w:tc>
        <w:tc>
          <w:tcPr>
            <w:tcW w:w="94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吨</w:t>
            </w:r>
          </w:p>
        </w:tc>
        <w:tc>
          <w:tcPr>
            <w:tcW w:w="18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950" w:type="dxa"/>
            <w:gridSpan w:val="2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已完成目标</w:t>
            </w:r>
          </w:p>
        </w:tc>
        <w:tc>
          <w:tcPr>
            <w:tcW w:w="12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shd w:val="clear" w:color="FFFFFF" w:fill="D9D9D9"/>
              </w:rPr>
            </w:pPr>
          </w:p>
        </w:tc>
        <w:tc>
          <w:tcPr>
            <w:tcW w:w="449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城市空气质量优良率</w:t>
            </w:r>
          </w:p>
        </w:tc>
        <w:tc>
          <w:tcPr>
            <w:tcW w:w="94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%</w:t>
            </w: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＞97.5%</w:t>
            </w:r>
          </w:p>
        </w:tc>
        <w:tc>
          <w:tcPr>
            <w:tcW w:w="102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99.7</w:t>
            </w:r>
          </w:p>
        </w:tc>
        <w:tc>
          <w:tcPr>
            <w:tcW w:w="93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-</w:t>
            </w:r>
          </w:p>
        </w:tc>
        <w:tc>
          <w:tcPr>
            <w:tcW w:w="12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shd w:val="clear" w:color="FFFFFF" w:fill="D9D9D9"/>
              </w:rPr>
            </w:pPr>
          </w:p>
        </w:tc>
        <w:tc>
          <w:tcPr>
            <w:tcW w:w="449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城市细颗粒物（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PM2.5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）平均浓度</w:t>
            </w:r>
          </w:p>
        </w:tc>
        <w:tc>
          <w:tcPr>
            <w:tcW w:w="94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μm</w:t>
            </w:r>
            <w:r>
              <w:rPr>
                <w:rFonts w:hint="eastAsia" w:ascii="仿宋_GB2312" w:hAnsi="仿宋_GB2312" w:eastAsia="仿宋_GB2312" w:cs="仿宋_GB2312"/>
                <w:snapToGrid w:val="0"/>
                <w:color w:val="auto"/>
                <w:kern w:val="0"/>
                <w:sz w:val="24"/>
                <w:highlight w:val="none"/>
              </w:rPr>
              <w:t>/m³</w:t>
            </w: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24</w:t>
            </w:r>
          </w:p>
        </w:tc>
        <w:tc>
          <w:tcPr>
            <w:tcW w:w="102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22</w:t>
            </w:r>
          </w:p>
        </w:tc>
        <w:tc>
          <w:tcPr>
            <w:tcW w:w="93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-</w:t>
            </w:r>
          </w:p>
        </w:tc>
        <w:tc>
          <w:tcPr>
            <w:tcW w:w="12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  <w:jc w:val="center"/>
        </w:trPr>
        <w:tc>
          <w:tcPr>
            <w:tcW w:w="67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shd w:val="clear" w:color="FFFFFF" w:fill="D9D9D9"/>
              </w:rPr>
            </w:pPr>
          </w:p>
        </w:tc>
        <w:tc>
          <w:tcPr>
            <w:tcW w:w="449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地表水省控及以上断面达到或好于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24"/>
                <w:highlight w:val="none"/>
              </w:rPr>
              <w:t>Ⅲ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类水体比例</w:t>
            </w:r>
          </w:p>
        </w:tc>
        <w:tc>
          <w:tcPr>
            <w:tcW w:w="945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%</w:t>
            </w:r>
          </w:p>
        </w:tc>
        <w:tc>
          <w:tcPr>
            <w:tcW w:w="180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100%</w:t>
            </w:r>
          </w:p>
        </w:tc>
        <w:tc>
          <w:tcPr>
            <w:tcW w:w="102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100</w:t>
            </w:r>
          </w:p>
        </w:tc>
        <w:tc>
          <w:tcPr>
            <w:tcW w:w="93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-</w:t>
            </w:r>
          </w:p>
        </w:tc>
        <w:tc>
          <w:tcPr>
            <w:tcW w:w="1279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contextualSpacing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（一）经济运行稳中有进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ascii="Times New Roman" w:hAnsi="Times New Roman" w:eastAsia="仿宋_GB2312"/>
          <w:bCs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一是整体经济平稳增长。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highlight w:val="none"/>
          <w:lang w:val="en-US" w:eastAsia="zh-CN"/>
        </w:rPr>
        <w:t>预计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实现地区生产总值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516.68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亿元，同比增长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4.5</w:t>
      </w:r>
      <w:r>
        <w:rPr>
          <w:rFonts w:ascii="Times New Roman" w:hAnsi="Times New Roman" w:eastAsia="仿宋_GB2312"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，三次产业结构调整为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3.7:44.3:52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</w:rPr>
        <w:t>；财政总收入</w:t>
      </w:r>
      <w:r>
        <w:rPr>
          <w:rFonts w:hint="eastAsia" w:ascii="Times New Roman" w:hAnsi="Times New Roman" w:eastAsia="仿宋_GB2312"/>
          <w:color w:val="auto"/>
          <w:sz w:val="32"/>
          <w:szCs w:val="32"/>
          <w:highlight w:val="none"/>
          <w:lang w:val="en-US" w:eastAsia="zh-CN"/>
        </w:rPr>
        <w:t>54.18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亿元，其中一般公共预算收入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val="en-US" w:eastAsia="zh-CN"/>
        </w:rPr>
        <w:t>35.76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亿元；城镇、农村居民人均可支配收入分别为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val="en-US" w:eastAsia="zh-CN"/>
        </w:rPr>
        <w:t>60206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元和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val="en-US" w:eastAsia="zh-CN"/>
        </w:rPr>
        <w:t>31333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元，分别增长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val="en-US" w:eastAsia="zh-CN"/>
        </w:rPr>
        <w:t>5.6</w:t>
      </w:r>
      <w:r>
        <w:rPr>
          <w:rFonts w:ascii="Times New Roman" w:hAnsi="Times New Roman" w:eastAsia="仿宋_GB2312"/>
          <w:bCs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和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val="en-US" w:eastAsia="zh-CN"/>
        </w:rPr>
        <w:t>7.4</w:t>
      </w:r>
      <w:r>
        <w:rPr>
          <w:rFonts w:ascii="Times New Roman" w:hAnsi="Times New Roman" w:eastAsia="仿宋_GB2312"/>
          <w:bCs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，城乡收入差距进一步缩小。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before="0" w:beforeAutospacing="0" w:after="0" w:afterAutospacing="0" w:line="56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default"/>
          <w:color w:val="auto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二是产业发展稳步提升。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工业规模继续扩大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，实现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规上工业增加值87.48亿元，增长4.8%，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加快打造高端泵阀智能制造基地，东方、沪工等多家全国领先的泵阀头部企业密集落地，创成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全省产业链山海协作工作先行区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。现代服务业提质增效，实现服务业增加值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268.41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亿元，增长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4.4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网络零售额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277.02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亿元，同比增长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14.2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社会消费品零售总额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260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亿元，旅游总收入达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224.88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亿元，</w:t>
      </w:r>
      <w:r>
        <w:rPr>
          <w:rFonts w:hint="eastAsia" w:ascii="仿宋_GB2312" w:hAnsi="微软雅黑" w:eastAsia="仿宋_GB2312"/>
          <w:color w:val="auto"/>
          <w:sz w:val="32"/>
          <w:szCs w:val="32"/>
          <w:highlight w:val="none"/>
        </w:rPr>
        <w:t>全国电子商务进农村综合示范县创建稳步推进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楠溪江名列2022春节全国客流热力指数最高十大景区之首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农业产业化水平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不断提升，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实现农林牧渔业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增加值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19.27亿元、增幅4.0%，成功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获评省级稻渔综合种养重点示范县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，主要农作物耕种收综合机械化率提升至75.3%，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入选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省农业“双强”行动赛马激励地区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/>
        <w:spacing w:beforeAutospacing="0" w:afterAutospacing="0" w:line="560" w:lineRule="exact"/>
        <w:ind w:right="0" w:rightChars="0" w:firstLine="643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三是产业结构加快调整。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抓好高水平产业平台建设，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持续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整合提升浙江永嘉经济开发区，设立永嘉现代农业产业研究院，建成省级研究院5家、研发中心13家，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val="en-US" w:eastAsia="zh-CN"/>
        </w:rPr>
        <w:t>永嘉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教玩具小镇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val="en-US" w:eastAsia="zh-CN"/>
        </w:rPr>
        <w:t>顺利通过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省级特色小镇命名验收</w:t>
      </w:r>
      <w:r>
        <w:rPr>
          <w:rFonts w:hint="eastAsia" w:asci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坚持数字赋能产业发展，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工业泵阀成功入选全省首批中小企业数字化改造试点，超100家企业开展智能化云平台改造，新入库制造业“云上企业”26家，新改建5G基站513个，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战略性新兴产业、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val="en-US" w:eastAsia="zh-CN"/>
        </w:rPr>
        <w:t>规上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数字经济核心产业制造业增加值分别增长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val="en-US" w:eastAsia="zh-CN"/>
        </w:rPr>
        <w:t>7.5</w:t>
      </w:r>
      <w:r>
        <w:rPr>
          <w:rFonts w:ascii="Times New Roman" w:hAnsi="Times New Roman" w:eastAsia="仿宋_GB2312"/>
          <w:bCs/>
          <w:color w:val="auto"/>
          <w:sz w:val="32"/>
          <w:szCs w:val="32"/>
          <w:highlight w:val="none"/>
        </w:rPr>
        <w:t>%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</w:rPr>
        <w:t>和</w:t>
      </w:r>
      <w:r>
        <w:rPr>
          <w:rFonts w:hint="eastAsia" w:ascii="Times New Roman" w:hAnsi="Times New Roman" w:eastAsia="仿宋_GB2312"/>
          <w:bCs/>
          <w:color w:val="auto"/>
          <w:sz w:val="32"/>
          <w:szCs w:val="32"/>
          <w:highlight w:val="none"/>
          <w:lang w:val="en-US" w:eastAsia="zh-CN"/>
        </w:rPr>
        <w:t>10.1</w:t>
      </w:r>
      <w:r>
        <w:rPr>
          <w:rFonts w:ascii="Times New Roman" w:hAnsi="Times New Roman" w:eastAsia="仿宋_GB2312"/>
          <w:bCs/>
          <w:color w:val="auto"/>
          <w:sz w:val="32"/>
          <w:szCs w:val="32"/>
          <w:highlight w:val="none"/>
        </w:rPr>
        <w:t>%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。持续加大创新主体培育力度，新增国家高新技术企业73家、省级科技型中小企业176家，国家级专精特新“小巨人”、省“隐形冠军”企业数量均居山区26县之首。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contextualSpacing/>
        <w:textAlignment w:val="auto"/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sz w:val="32"/>
          <w:szCs w:val="32"/>
          <w:highlight w:val="none"/>
          <w:lang w:val="en-US" w:eastAsia="zh-CN"/>
        </w:rPr>
        <w:t>（二）有效投资持续扩大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contextualSpacing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一是投资结构不断优化。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完成固定资产投资293.10亿元，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增速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9.2%。其中，完成制造业投资41.80亿元，增速33.2%；完成交通投资47.39亿元，增速5.7%；完成高新投资17.68亿元，增速90.9%；完成生态环保、城市更新和水利设施投资31.72亿元，增速22.1%；完成民间项目投资（不含房地产）87.31亿元，增速6.9%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二是重大项目有序推进。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12个省“4+1”项目完成投资28.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48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亿元，投资完成率达167.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6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%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 w:bidi="ar-SA"/>
        </w:rPr>
        <w:t>；12个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省重点工程完成投资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39.02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亿元，完成率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 w:bidi="ar-SA"/>
        </w:rPr>
        <w:t>达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126.7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%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；5个省集中开工项目全部按期开工入库，其中年产15万吨高参数泵阀、温州绕城高速乌牛互通等3个项目投资完成率达203.6%；78个县重点建设项目完成投资102亿元，完成率达81.9%，其中31个项目完成年度投资任务，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 w:bidi="ar-SA"/>
        </w:rPr>
        <w:t>M1线温州北站配套预埋工程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 w:bidi="ar-SA"/>
        </w:rPr>
        <w:t>、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 w:bidi="ar-SA"/>
        </w:rPr>
        <w:t>纽顿智能制造基地项目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等3个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 w:bidi="ar-SA"/>
        </w:rPr>
        <w:t>项目投资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完成率超300%。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highlight w:val="none"/>
          <w:lang w:val="en-US" w:eastAsia="zh-CN"/>
        </w:rPr>
        <w:t>三是项目谋划取得成效。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 w:bidi="ar-SA"/>
        </w:rPr>
        <w:t>谋划县重大前期项目42个,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</w:rPr>
        <w:t>总投资713.09亿元</w:t>
      </w:r>
      <w:r>
        <w:rPr>
          <w:rFonts w:hint="eastAsia" w:ascii="仿宋" w:hAnsi="仿宋" w:eastAsia="仿宋" w:cs="仿宋_GB2312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 w:bidi="ar-SA"/>
        </w:rPr>
        <w:t>其中，申乐智造生产线、三江生态康养中心、智能泵阀生产基地等3个项目成功列入省市县长项目清单，任务完成率达150%，年度省市县长工程项目落地数排名全市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前列</w:t>
      </w:r>
      <w:r>
        <w:rPr>
          <w:rFonts w:hint="default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eastAsia="zh-CN" w:bidi="ar-SA"/>
        </w:rPr>
        <w:t>。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全力推动重大招商项目按时序落地，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招引亿元以上产业项目25个、省外10亿元以上产业项目3个，</w:t>
      </w:r>
      <w:r>
        <w:rPr>
          <w:rFonts w:hint="eastAsia" w:asci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超百亿项目高效推进，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温州北外滩、比亚迪新能源动力电池生产基地项目等超百亿项目顺利签约，永嘉抽水蓄能电站实现“当年签约、当年核准、当年开工”。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（三）改革开放纵深推进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一是改革成果不断涌现。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以数字化改革为主抓手，全面推进各领域改革，获批省级以上试点10项，形成理论、制度成果29项，其中“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数字检察”等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3个应用列入省数字化改革重大应用三张清单，“数字扫楼”等7个应用经验做法获省、市简报刊发推广。18项牵一发动全身重大改革有效推进，要素市场化改革领域获得国家阀门质量监督检验中心（浙江）改革、老旧园区改造、快递包装绿色转型等3项市级试点，大综合一体化改革完成15个镇街赋权，实现县域内92%以上的矛盾纠纷化解在基层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二是开放合作持续深化。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外贸发展稳中有进，实现进出口总额102.5亿元，同比增长25.3%，新增“三回流”外贸出口企业120家、跨境电商店铺20家，“义新欧”出运货柜274标箱，鞋服、五金等产品通过市场采购方式出口1.2亿美元，承办中国鞋都鞋类采购节等重大展会。切实推进山海协作高质量发展，山海协作生态旅游文化产业园获得省绩效评价考核一等奖，慈善助学品牌“山海书屋”成功开设。对口协作深化拓展，三台·红原·永嘉飞地产业园加快建设，“君兰共富圈”等富民项目持续打造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三是营商环境提档升级。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深入实施“10+N”营商环境便利化行动，全县营商环境美誉度不断提升。精简优化项目审批流程，实现全年开工前审批平均用时3.29天，小型项目审批平均用时1.33天。持续深化“两万”助企行动，全县近千名助企服务员直接挂钩企业，帮助排摸问题226个，化解率90%以上。全面落实惠企助企政策，兑现企业奖补资金4.5亿元，降本减负19亿元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（四）城乡区域协调发展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bidi w:val="0"/>
        <w:snapToGrid/>
        <w:spacing w:before="0" w:beforeAutospacing="0" w:after="0" w:afterAutospacing="0" w:line="560" w:lineRule="exact"/>
        <w:ind w:left="0" w:leftChars="0"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0"/>
          <w:sz w:val="32"/>
          <w:szCs w:val="32"/>
          <w:highlight w:val="none"/>
          <w:lang w:val="en-US" w:eastAsia="zh-CN" w:bidi="ar-SA"/>
        </w:rPr>
        <w:t>一是城镇建设优化提升。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highlight w:val="none"/>
          <w:lang w:val="en-US" w:eastAsia="zh-CN" w:bidi="ar-SA"/>
        </w:rPr>
        <w:t>高品质推动精建精美，推动实施府东路过江通道等39个“大建大美”项目，创建岩头镇、大若岩镇等2处省级“美丽城镇”样板，建成永建路C区块、桥头桥一村等城中村改造项目。加快完善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市政设施，建成投用县生活垃圾填埋场，桥头、桥下、黄田、江东等4个污水处理厂完成清洁排放技术改造。整治提升县域风貌，岩头-枫林“宋韵楠溪”县域风貌样板区节点改造工程高效开展，苍坡、芙蓉、丽水街等核心景区环境整治、改造提升工作成效显著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二是乡村振兴成效显著。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持续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提档升级美丽乡村，打造美丽乡村达标村70个、精品村40个、特色精品村5个、示范乡镇1个。高品质加速农旅融合，新建续建西部休闲产业带项目36个，第七批省级重点村屿北村获省级绩效评价良好等次，“楠溪江核心景点夜游线”被列入2022年“浙里田园”百条休闲农业与乡村旅游精品线路。强村富民全面推进，县级强村公司组建运营，村集体经济总收入、经营性收入分别增长16.7%、18.1%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三是现代交通日趋完善。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优化发展对外综合交通，温州北站、楠溪江站站房等9个重大项目开工建设，杭温高铁永嘉段主体工程基本贯通，323省道永嘉段列入国家公路网规划。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eastAsia="zh-CN" w:bidi="ar"/>
        </w:rPr>
        <w:t>打造县域一体化交通走廊，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330国道桥头至桥下段、104国道温州西过境永嘉段等项目建成通车。提升交通便民服务品质，新改建农村公路71.2公里，上塘至温州南站公交班线顺利开通，上瓯公路208路公交率全县之先推出全线电子站牌。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（五）生态环境不断改善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一是人居环境持续向好。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全县环境空气优良率保持在99.7%以上，PM2.5平均浓度降至22µg/m3，城区集中生活饮用水水源地水质达标率、地表水省控及以上断面达到或好于Ⅲ类水体比例均达100%，化学需氧量、氨氮、挥发性有机物、氮氧化物四类主要污染物实现减排目标，生活垃圾分类覆盖面达100%，县级以上城市公园绿地服务半径覆盖率达97.7%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二是生态治理全面加强。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打造“森林永嘉”品牌，新增百万亩国土绿化验收绿化面积26605亩，完成率118.2%，枫林镇、云岭乡、界坑乡、溪下乡、乌牛街道等5个乡镇街道开展省级森林城镇创建。全面提升水环境质量，完成中小河流治理4.9km，小楠溪（永嘉书院-大小源溪交汇口）成功创建省级美丽河湖，水云溪入选温州美丽河湖·水上碧道，17个省级生活小区“污水零直排区”完成创建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三是绿色发展稳步推进。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大力发展循环经济，加大落后产能淘汰和过剩产能压减力度，完成整治低效工业用地981亩，老旧工业区拆除重建376亩。加速绿色转型发展，实施百企节能改造，整治高耗低效企业126家，腾出用地空间620亩、用能空间1.22亿吨标煤。拓展生态产品价值转换途径，推进“两山合作社”试点建设，搭建县生态资源开发运营平台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Chars="304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（六）民生福祉全面加强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一是民生保障提质增效。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坚持财力优先用于民生事业，完成民生领域支出76.36亿元，占一般公共预算支出比重达76.95%。大力建设儿童友好型社会，建成儿童之家82个、未保工作站13个，打造关爱留守儿童公益项目20余个，相关慈善关爱活动惠及儿童3万余人次。全面推进养老服务提质增效，居家养老服务照料中心实现社区覆盖率78%、村居覆盖率65%，溪下乡建成老年“共富食堂”11个。全力稳定就业基本盘，新增城镇就业9520人，县创业孵化基地累计孵化创业实体124户、带动就业1505人，“麦饼制作”技能培训成功培育3000余名农村劳动力转移者。夯实全民医保根基，医疗保险参保率达99.4%，在全市率先开展“两慢病”患者免费用药试点，惠及3.1万名两慢病患者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二是社会安全和谐稳定。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聚力平安永嘉建设，安全生产事故、道路交通亡人事故起数和亡人数较前三年平均数实现双下降，刑事和治安警情下降11.6%，信访积案实现动态清零。提质扩面食药安全防线，创建食品安全数字化追溯体系农贸市场5家、城乡放心农贸市场3家，新建民生药事服务站3家。创新开展法治建设，探索形成“法院110”治理模式，实现全县17家公安派出所、联勤警务站“共享法庭”全覆盖；</w:t>
      </w:r>
      <w:r>
        <w:rPr>
          <w:rFonts w:eastAsia="仿宋_GB2312"/>
          <w:color w:val="auto"/>
          <w:sz w:val="32"/>
          <w:szCs w:val="32"/>
          <w:highlight w:val="none"/>
        </w:rPr>
        <w:t>设立全市首个涉未家事案件联络站</w:t>
      </w:r>
      <w:r>
        <w:rPr>
          <w:rFonts w:hint="eastAsia" w:eastAsia="仿宋_GB2312"/>
          <w:color w:val="auto"/>
          <w:sz w:val="32"/>
          <w:szCs w:val="32"/>
          <w:highlight w:val="none"/>
          <w:lang w:eastAsia="zh-CN"/>
        </w:rPr>
        <w:t>，</w:t>
      </w:r>
      <w:r>
        <w:rPr>
          <w:rFonts w:eastAsia="仿宋_GB2312"/>
          <w:color w:val="auto"/>
          <w:sz w:val="32"/>
          <w:szCs w:val="32"/>
          <w:highlight w:val="none"/>
        </w:rPr>
        <w:t>家事案件调撤率连续五年蝉联全市首位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。统筹调度做好防汛防台抗旱工作，特别是面对极端旱情，采取分区轮供、分时限供等措施保障居民用水，实施人工降水41次，增水量1296万方，调度水库补水705万方，全力保障城乡供水安全。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三是社会事业稳步推进。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教育事业均衡发展，落实落细“双减”政策，率全市之先启动幼儿园学后托管服务，中小学课后服务全面开展；高质量完成民办义务教育规范工作，民办学校学位占比控制在5%以内；素质教育成果丰硕，高考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-SA"/>
        </w:rPr>
        <w:t>一段达线人数同比增长2%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。医疗体系持续完善，创成国家版结肠镜规范化培训项目优秀示范基地，县人民医院获评省“二级甲等”综合性医院，“明眸皓齿”工程等6项卫生类民生实事完成率达100%，连续四年获评健康浙江建设先进县。文体事业活力迸发，成功入选第三批浙江省戏曲之乡，创成省市乡村博物馆9家，建成“15分钟品质文化生活圈”65个，体育设施普惠行动深入开展，人均体育场地面积达到2.95㎡。工青妇、慈善、红十字、关心下一代、移风易俗等事业健康发展。</w:t>
      </w:r>
    </w:p>
    <w:p>
      <w:pPr>
        <w:pStyle w:val="6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right="0" w:firstLine="640" w:firstLineChars="200"/>
        <w:jc w:val="both"/>
        <w:rPr>
          <w:rFonts w:hint="eastAsia"/>
          <w:color w:val="auto"/>
          <w:highlight w:val="none"/>
          <w:lang w:val="en-US" w:eastAsia="zh-CN"/>
        </w:rPr>
      </w:pP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在充分肯定成绩的同时，我们也要清醒地看到我县经济社会发展也面临着诸多压力：一是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经济下行压力之下市场主体与消费群体活力不足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；二是产业、投资发展要素保障较薄弱；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三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是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中心城区能级提升较慢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；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四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是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基本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公共服务</w:t>
      </w:r>
      <w:r>
        <w:rPr>
          <w:rFonts w:hint="eastAsia" w:ascii="仿宋_GB2312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均等化水平仍待提高</w:t>
      </w:r>
      <w:r>
        <w:rPr>
          <w:rFonts w:hint="default" w:ascii="仿宋_GB2312" w:hAnsi="Times New Roman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。我们必须增强忧患意识和底线思维，化挑战为机遇、变压力为动力，加快推动经济社会高质量发展。</w:t>
      </w:r>
    </w:p>
    <w:p>
      <w:pPr>
        <w:pStyle w:val="6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leftChars="0" w:right="0" w:firstLine="640" w:firstLineChars="200"/>
        <w:jc w:val="both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二、202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3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年我县经济和社会发展主要目标和工作建议</w:t>
      </w:r>
    </w:p>
    <w:p>
      <w:pPr>
        <w:pStyle w:val="6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leftChars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年是全面贯彻落实党的二十大精神的开局之年，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也是“十四五”规划承上启下之年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。我们要坚持以习近平新时代中国特色社会主义思想为指导，认真贯彻落实党的二十大和二十届一中全会精神，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以忠实践行“八八战略”、努力打造“重要窗口”为主题主线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，坚持“</w:t>
      </w:r>
      <w:r>
        <w:rPr>
          <w:rFonts w:hint="eastAsia" w:ascii="仿宋_GB2312" w:eastAsia="仿宋_GB2312"/>
          <w:color w:val="auto"/>
          <w:sz w:val="32"/>
          <w:szCs w:val="32"/>
          <w:highlight w:val="none"/>
          <w:lang w:val="en-US" w:eastAsia="zh-CN"/>
        </w:rPr>
        <w:t>稳字当头、稳中求进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”工作总基调，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高质量发展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中奋力推进“两个先行”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，聚焦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城乡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协调发展、产业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转型升级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、重大项目建设、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生态环境提升、改革开放创新、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民生持续改善等工作，推动经济运行整体好转，实现质的有效提升和量的合理增长，为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加快实现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“拥江融入、产城融合”、全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力争创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社会主义现代化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先行县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开好局起好步。</w:t>
      </w:r>
    </w:p>
    <w:p>
      <w:pPr>
        <w:pStyle w:val="6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leftChars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根据县委县政府总体部署，综合考虑我县“十四五”规划、共同富裕示范区建设相关目标，提出202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年我县国民经济和社会发展计划主要目标建议：</w:t>
      </w:r>
    </w:p>
    <w:p>
      <w:pPr>
        <w:pStyle w:val="6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leftChars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——地区生产总值增长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6.5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左右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；</w:t>
      </w:r>
    </w:p>
    <w:p>
      <w:pPr>
        <w:pStyle w:val="6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leftChars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——固定资产投资增长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10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%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以上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；</w:t>
      </w:r>
    </w:p>
    <w:p>
      <w:pPr>
        <w:pStyle w:val="6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leftChars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——社会消费品零售总额增长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%；</w:t>
      </w:r>
    </w:p>
    <w:p>
      <w:pPr>
        <w:pStyle w:val="6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leftChars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——一般公共预算收入增长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8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%；</w:t>
      </w:r>
    </w:p>
    <w:p>
      <w:pPr>
        <w:pStyle w:val="6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leftChars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——R&amp;D经费支出占GDP比重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达2.26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%；</w:t>
      </w:r>
    </w:p>
    <w:p>
      <w:pPr>
        <w:pStyle w:val="6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leftChars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——旅游业增加值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增长9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%；</w:t>
      </w:r>
    </w:p>
    <w:p>
      <w:pPr>
        <w:pStyle w:val="6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leftChars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——城镇和农村居民人均可支配收入分别增长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7.5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%和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8.5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%左右，城乡居民收入比有所收窄；</w:t>
      </w:r>
    </w:p>
    <w:p>
      <w:pPr>
        <w:pStyle w:val="6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leftChars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——城镇新增就业人数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达8000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人以上;</w:t>
      </w:r>
    </w:p>
    <w:p>
      <w:pPr>
        <w:pStyle w:val="6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leftChars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——单位GDP能耗、化学需氧量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减排量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、氨氮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减排量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、挥发性有机物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减排量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、氮氧化物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减排量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、空气质量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优良率、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PM2.5平均浓度分别完成市级下达目标；</w:t>
      </w:r>
    </w:p>
    <w:p>
      <w:pPr>
        <w:pStyle w:val="6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leftChars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——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省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控断面达到或优于Ⅲ类水体占地表水比例达到100%。</w:t>
      </w:r>
    </w:p>
    <w:p>
      <w:pPr>
        <w:pStyle w:val="6"/>
        <w:keepNext w:val="0"/>
        <w:keepLines w:val="0"/>
        <w:widowControl w:val="0"/>
        <w:suppressLineNumbers w:val="0"/>
        <w:spacing w:before="0" w:beforeAutospacing="0" w:after="0" w:afterAutospacing="0" w:line="560" w:lineRule="exact"/>
        <w:ind w:left="0" w:leftChars="0" w:right="0" w:firstLine="640" w:firstLineChars="200"/>
        <w:jc w:val="both"/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为实现上述目标，202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3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年我们要重点开展以下几方面工作：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left="0" w:leftChars="0" w:firstLine="643" w:firstLineChars="200"/>
        <w:textAlignment w:val="auto"/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shd w:val="clear" w:color="auto" w:fill="auto"/>
        </w:rPr>
      </w:pP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（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一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）统筹城乡协调发展，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shd w:val="clear" w:color="auto" w:fill="auto"/>
          <w:lang w:val="en-US" w:eastAsia="zh-CN"/>
        </w:rPr>
        <w:t>全面提升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城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shd w:val="clear" w:color="auto" w:fill="auto"/>
          <w:lang w:eastAsia="zh-CN"/>
        </w:rPr>
        <w:t>市</w:t>
      </w:r>
      <w:r>
        <w:rPr>
          <w:rFonts w:hint="eastAsia" w:ascii="楷体_GB2312" w:hAnsi="楷体_GB2312" w:eastAsia="楷体_GB2312" w:cs="楷体_GB2312"/>
          <w:b/>
          <w:bCs w:val="0"/>
          <w:color w:val="auto"/>
          <w:sz w:val="32"/>
          <w:szCs w:val="32"/>
          <w:highlight w:val="none"/>
          <w:shd w:val="clear" w:color="auto" w:fill="auto"/>
        </w:rPr>
        <w:t>能级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一是加快提升城市能级。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纵深推进拥江融入发展，加快推进雅林未来社区、温乡城、希尔顿酒店等城市地标打造，抓好府东路过江通道、瓯江五桥改造等进出大通道建设，深入实施城中村、老旧小区、危旧房“三大改造”，加快14个城中村改造安置房项目建设，巩固深化</w:t>
      </w:r>
      <w:r>
        <w:rPr>
          <w:rFonts w:hint="eastAsia" w:ascii="仿宋_GB2312" w:hAnsi="宋体" w:eastAsia="仿宋_GB2312" w:cs="仿宋_GB2312"/>
          <w:color w:val="000000"/>
          <w:kern w:val="0"/>
          <w:sz w:val="32"/>
          <w:szCs w:val="32"/>
          <w:highlight w:val="none"/>
          <w:lang w:val="en-US" w:eastAsia="zh-CN" w:bidi="ar"/>
        </w:rPr>
        <w:t>岩头镇、大若岩镇等“美丽城镇”创建成果，高标打造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岩头-枫林“宋韵楠溪”县域风貌样板区。</w:t>
      </w:r>
      <w:r>
        <w:rPr>
          <w:rFonts w:hint="default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二是纵深推进乡村振兴。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推进农业“双强”行动和“两非”整治，实现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粮食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播种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面积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21.8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万亩以上。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提升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产业富民能级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，大力推进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永嘉县生态农业创意园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、麦丰预制菜总部基地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等重点产业项目建设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，打造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浙南早茶优势特色产业集群。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纵深推进“三位一体”综合合作改革，加快农民合作社质量提升整县推进，消除年总收入35万元以下、经营性收入14万元以下村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。</w:t>
      </w:r>
      <w:r>
        <w:rPr>
          <w:rFonts w:hint="default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三是全面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构筑</w:t>
      </w:r>
      <w:r>
        <w:rPr>
          <w:rFonts w:hint="default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交通重城。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持续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打造温州北部综合交通枢纽，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盯紧抓实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合温高速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、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乐永青高速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等重大项目前期，提速推进乌牛互通、温州北站互通建设，确保杭温高铁永嘉段主体工程完工。加快推进上塘至大若岩公路、桥头至金溪隧道等项目建设，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新改建提升“四好农村路”180公里，探索开通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公交</w:t>
      </w:r>
      <w:r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“通勤班线”、“游客服务专线”等服务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，畅通县域交通“内循环”。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四</w:t>
      </w:r>
      <w:r>
        <w:rPr>
          <w:rFonts w:hint="default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是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高质量发展全域旅游</w:t>
      </w:r>
      <w:r>
        <w:rPr>
          <w:rFonts w:hint="default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以打造</w:t>
      </w:r>
      <w:r>
        <w:rPr>
          <w:rFonts w:hint="default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楠溪江核心景区精品线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为引领，加快推进枫林千年古城复兴、田园牧歌等重大项目，</w:t>
      </w:r>
      <w:r>
        <w:rPr>
          <w:rFonts w:hint="eastAsia" w:ascii="仿宋_GB2312" w:hAnsi="仿宋_GB2312" w:eastAsia="仿宋_GB2312" w:cs="仿宋_GB2312"/>
          <w:bCs w:val="0"/>
          <w:sz w:val="32"/>
          <w:szCs w:val="22"/>
          <w:highlight w:val="none"/>
        </w:rPr>
        <w:t>抓好下日川、永嘉书院等重要景点提档升级，</w:t>
      </w:r>
      <w:r>
        <w:rPr>
          <w:rFonts w:hint="eastAsia" w:ascii="仿宋_GB2312" w:hAnsi="仿宋_GB2312" w:eastAsia="仿宋_GB2312" w:cs="仿宋_GB2312"/>
          <w:bCs w:val="0"/>
          <w:sz w:val="32"/>
          <w:szCs w:val="22"/>
          <w:highlight w:val="none"/>
          <w:lang w:val="en-US" w:eastAsia="zh-CN"/>
        </w:rPr>
        <w:t>探索</w:t>
      </w:r>
      <w:r>
        <w:rPr>
          <w:rFonts w:hint="eastAsia" w:ascii="仿宋_GB2312" w:hAnsi="仿宋_GB2312" w:eastAsia="仿宋_GB2312" w:cs="仿宋_GB2312"/>
          <w:bCs w:val="0"/>
          <w:sz w:val="32"/>
          <w:szCs w:val="22"/>
          <w:highlight w:val="none"/>
        </w:rPr>
        <w:t>“一园两区三营四节”旅游新模式，</w:t>
      </w:r>
      <w:r>
        <w:rPr>
          <w:rFonts w:hint="eastAsia" w:ascii="仿宋_GB2312" w:hAnsi="仿宋_GB2312" w:eastAsia="仿宋_GB2312" w:cs="仿宋_GB2312"/>
          <w:bCs w:val="0"/>
          <w:sz w:val="32"/>
          <w:szCs w:val="22"/>
          <w:highlight w:val="none"/>
          <w:lang w:val="en-US" w:eastAsia="zh-CN"/>
        </w:rPr>
        <w:t>擦亮</w:t>
      </w:r>
      <w:r>
        <w:rPr>
          <w:rFonts w:hint="eastAsia" w:ascii="仿宋_GB2312" w:hAnsi="仿宋_GB2312" w:eastAsia="仿宋_GB2312" w:cs="仿宋_GB2312"/>
          <w:bCs w:val="0"/>
          <w:sz w:val="32"/>
          <w:szCs w:val="22"/>
          <w:highlight w:val="none"/>
        </w:rPr>
        <w:t>“楠溪江乡村音乐漫都”“江南宋村”</w:t>
      </w:r>
      <w:r>
        <w:rPr>
          <w:rFonts w:hint="eastAsia" w:ascii="仿宋_GB2312" w:hAnsi="仿宋_GB2312" w:eastAsia="仿宋_GB2312" w:cs="仿宋_GB2312"/>
          <w:bCs w:val="0"/>
          <w:sz w:val="32"/>
          <w:szCs w:val="22"/>
          <w:highlight w:val="none"/>
          <w:lang w:val="en-US" w:eastAsia="zh-CN"/>
        </w:rPr>
        <w:t>等文旅金名片</w:t>
      </w:r>
      <w:r>
        <w:rPr>
          <w:rFonts w:hint="eastAsia" w:ascii="仿宋_GB2312" w:hAnsi="仿宋_GB2312" w:eastAsia="仿宋_GB2312" w:cs="仿宋_GB2312"/>
          <w:bCs w:val="0"/>
          <w:sz w:val="32"/>
          <w:szCs w:val="2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Cs w:val="0"/>
          <w:sz w:val="32"/>
          <w:szCs w:val="22"/>
          <w:highlight w:val="none"/>
          <w:lang w:val="en-US" w:eastAsia="zh-CN"/>
        </w:rPr>
        <w:t>实现</w:t>
      </w:r>
      <w:r>
        <w:rPr>
          <w:rFonts w:hint="eastAsia" w:ascii="仿宋_GB2312" w:hAnsi="仿宋_GB2312" w:eastAsia="仿宋_GB2312" w:cs="仿宋_GB2312"/>
          <w:bCs w:val="0"/>
          <w:sz w:val="32"/>
          <w:szCs w:val="22"/>
          <w:highlight w:val="none"/>
          <w:lang w:eastAsia="zh-CN"/>
        </w:rPr>
        <w:t>景区门票收入</w:t>
      </w:r>
      <w:r>
        <w:rPr>
          <w:rFonts w:hint="eastAsia" w:ascii="仿宋_GB2312" w:hAnsi="仿宋_GB2312" w:eastAsia="仿宋_GB2312" w:cs="仿宋_GB2312"/>
          <w:bCs w:val="0"/>
          <w:sz w:val="32"/>
          <w:szCs w:val="22"/>
          <w:highlight w:val="none"/>
          <w:lang w:val="en-US" w:eastAsia="zh-CN"/>
        </w:rPr>
        <w:t>超</w:t>
      </w:r>
      <w:r>
        <w:rPr>
          <w:rFonts w:hint="eastAsia" w:ascii="仿宋_GB2312" w:hAnsi="仿宋_GB2312" w:eastAsia="仿宋_GB2312" w:cs="仿宋_GB2312"/>
          <w:bCs w:val="0"/>
          <w:sz w:val="32"/>
          <w:szCs w:val="22"/>
          <w:highlight w:val="none"/>
          <w:lang w:eastAsia="zh-CN"/>
        </w:rPr>
        <w:t>亿元</w:t>
      </w:r>
      <w:r>
        <w:rPr>
          <w:rFonts w:hint="eastAsia" w:ascii="仿宋_GB2312" w:hAnsi="仿宋_GB2312" w:eastAsia="仿宋_GB2312" w:cs="仿宋_GB2312"/>
          <w:bCs w:val="0"/>
          <w:sz w:val="32"/>
          <w:szCs w:val="22"/>
          <w:highlight w:val="none"/>
        </w:rPr>
        <w:t>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（二）蓄力产业转型升级，加速推进动能转换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一是提升产业平台能级。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实施省级经济开发区（高新区）赶超提升计划，加快提升东瓯、浦西等重点园区道路、电力设施配套，全力做大工业经济主平台。全力打造特色产业园，建成永嘉裕隆鞋服科创小微园、桥下教玩具孵化园等一批小微园，深入推进小微企业园数字化改造。深入实施专精特新企业培育，确保国家级专精特新“小巨人”和省“隐形冠军”数量保持全省26县前列，单项冠军实现零突破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二是推进制造业转型提升。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深入实施“十个一”产业链链长制，实现泵阀产业突破500亿元，力争鞋服时尚产业、教玩具产业分别突破150亿元和80亿元。持续推进工业全域治理，加速老旧工业区、旧村改造“两改”融合，力争实现整治低效用地、新增工业供地两个“超千亩”目标。加快发展数字经济、新能源、生命健康等产业集群，统筹布局车联网大孵化器产业集群，新增孵化面积7万平方米以上，提速建设比亚迪新能源动力电池生产基地项目、永嘉抽水蓄能电站项目，力争战新产业增加值占规上工业比重达37.5%以上、数字经济核心产业增加值增长10%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三是强化科技创新驱动。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纵深推进产学研融合发展，提档升级兰理工泵阀研究院、温科院永嘉县现代农业产业研究院等高能级创新平台，打造一批“头部企业+大学（研究院）”创新联合体。大力实施科技企业“双倍增”“双迈进”行动，确保新增高新技术企业30家、省科技型中小企业150家以上，以“双尖双领”等重大科研项目攻关计划为抓手，鼓励企业提高自主创新研发能力，力争高新技术产业增加值占比提高1个百分点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（三）狠抓项目谋划招引，培育发展强力引擎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一是持续优化投资结构。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积极扩大有效投资，用好政府专项债和中央预算内资金，系统布局“两新一重”，撬动社会投资，鼓励民间投资，加大重点领域补短板力度，着力提高投资效率，促进投资规模合理增长、结构不断优化，确保固定资产投资增长10%以上，高新技术产业投资，交通、能源和水利投资增长10%，制造业投资增长15%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二是扎实抓好项目前期。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加强项目谋划储备体系建设，紧紧围绕重大战略布局，聚焦产业、交通、能源、社会发展等重点领域，构建战略支撑性强、互补性强、协调性强的有机项目体系，实行项目储备管理制度，科学开展预可研工作，深化53个县重大前期项目，力争列入省市县长工程项目3个、省重点工程项目2个、省重大产业项目1个以上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三是全力推进招大引强。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持续掀起招大引强热潮，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优化产业招商地图，充分发挥驻外招商网络作用，统筹运用基金招商、中介招商、以商招商模式，大力招引“高大上、链群配”项目，实施重大项目全生命周期管理，保障优质项目“拿地即开工”，全年到位内资60亿元，利用外资6000万美元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，招引落地超亿元产业项目20个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，推动更多领域实现百亿级项目突破。助力企业增资扩展，推动本土企业扩投资、增产能、上规模，引导企业扎根永嘉、发展永嘉，开工增资扩产项目40个以上。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（四）提升生态环境质量，着力建设美丽永嘉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一是促进绿色低碳发展。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全面践行“双碳”战略，探索生态产品价值实现路径，促进“两山合作社”落地生效。全面深化资源循环利用示范城市试点建设，建成县再生资源分拣中心，城镇生活垃圾回收利用率达66%以上。加快园区绿色低碳发展，推进第二轮省级园区循环化改造，实现园区内资源利用效率大幅提升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二是深入推进环境污染防治。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持续打好蓝天、碧水、净土保卫战。加强污染物协同控制，力争全县PM2.5平均浓度进一步下降，空气优良率持续保持优良。统筹水资源、水环境、水生态治理，全力推进美丽河湖·水上碧道创建工作，实现全域污水零直排，省控及以上断面Ⅰ-Ⅲ类水质比例达100%。加强土壤污染源头防控，有序推进土壤污染隐患排查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三是打造幸福宜居绿城。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巩固国家生态文明建设示范县创建成果，推进城乡生态环境状况持续改善。着力推进林业持续发展，新增百万亩国土绿化2000亩，创成省级森林城镇1个、省级森林康养基地1个。加大生态系统保护和修复力度，严格落实《温州市楠溪江保护管理条例》，持续推进滩林修复、湿地保护，全面深化“河湖林田长制”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（五）持续深化改革开放，不断激发创新活力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一是加速推进数字赋能。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坚持以数字化改革牵引各领域改革全面深化，加快完善“1612”体系，迭代升级小微权力“一网监督”、温州安居码等应用，谋划一批可推广、可复制、可借鉴、可提炼的重大应用项目，总结凝练具有永嘉辨识度的实践、理论和制度成果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二是打造一流营商环境。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深化准入准营、自由迁移、破产歇业等“一件事”改革，精简投资项目审批、核准、备案流程，全面提升投资项目审批效能，推动营商环境评价指标在全省晋等升位。强化助力企业纾困解难，深化“两万”专项行动，做好惠企政策资金兑现和惠企政策完善工作，全面梳理落实各项降本减负政策，全年为企业降本减负20亿元、企业问题化解率达到99%以上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三是持续扩大开放合作。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提升对外开放平台能级，积极对接国家进口贸易促进创新示范区建设，全力争取国家级二手车出口试点，谋划打造“义新欧”班列共富号永嘉专列，加快外贸主体和外贸新业态培育。深推市场采购贸易方式试点发展，继续引导本土五金、鞋服等产品由一般贸易向市场采购转变。利用展会开阔市场，依托中国泵阀之乡专精特新博览会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</w:rPr>
        <w:t>中国国际进口博览会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等优质会展平台，激发外贸发展潜力，实现全年出口总额增长8%。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leftChars="304"/>
        <w:contextualSpacing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（六）聚焦增进民生福祉，提高人民生活品质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contextualSpacing/>
        <w:textAlignment w:val="auto"/>
        <w:rPr>
          <w:rFonts w:hint="eastAsia" w:ascii="仿宋_GB2312" w:hAnsi="Calibri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Calibri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一是推进高水平就业与增收。</w:t>
      </w:r>
      <w:r>
        <w:rPr>
          <w:rFonts w:hint="eastAsia" w:ascii="仿宋_GB2312" w:hAnsi="Calibri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"/>
        </w:rPr>
        <w:t>多措并举推动就业，突出抓好高校毕业生、就业困难人员、残疾人、退役军人等重点群体就业创业工作，加大小微企业用工支持力度，充分发挥创业园、创业服务平台作用，实现城镇新增就业8000人以上。拓展城乡居民增收渠道，全面开展扩中提低行动，低收入农户户数进一步下降。</w:t>
      </w:r>
      <w:r>
        <w:rPr>
          <w:rFonts w:hint="eastAsia" w:ascii="仿宋_GB2312" w:hAnsi="Calibri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二是完善社会保障体系。</w:t>
      </w:r>
      <w:r>
        <w:rPr>
          <w:rFonts w:hint="eastAsia" w:ascii="仿宋_GB2312" w:hAnsi="Calibri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"/>
        </w:rPr>
        <w:t>加快构建养老服务体系，创建老年友好乡镇2个、老年友好村社13个，打造示范型村社居家养老服务照料中心6个，全面推广老年“共富食堂”品牌。完善住房保障体系，做好人才住房保障工作，筹集保障性租赁住房2100套。完善社会救助体系，完善兜底型、支出型、急难型救助，探索关爱型、发展型救助，全面推进镇街、村级“助联体”实体化平台建设。</w:t>
      </w:r>
      <w:r>
        <w:rPr>
          <w:rFonts w:hint="eastAsia" w:ascii="仿宋_GB2312" w:hAnsi="Calibri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三是提升公共服务保障水平。</w:t>
      </w:r>
      <w:r>
        <w:rPr>
          <w:rFonts w:hint="eastAsia" w:ascii="仿宋_GB2312" w:hAnsi="Calibri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"/>
        </w:rPr>
        <w:t>深入实施教育高质量发展三年计划，持续推动“双减”政策落实落细，积极争创全国学前教育普及普惠县，统筹推进“高中进城”，深化产教融合，打造泵阀产业学院等职业教育创新发展高地。深化</w:t>
      </w:r>
      <w:r>
        <w:rPr>
          <w:rFonts w:hint="default" w:ascii="仿宋_GB2312" w:hAnsi="Calibri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"/>
        </w:rPr>
        <w:t>健康永嘉建设，</w:t>
      </w:r>
      <w:r>
        <w:rPr>
          <w:rFonts w:hint="eastAsia" w:ascii="仿宋_GB2312" w:hAnsi="Calibri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"/>
        </w:rPr>
        <w:t>持续</w:t>
      </w:r>
      <w:r>
        <w:rPr>
          <w:rFonts w:hint="default" w:ascii="仿宋_GB2312" w:hAnsi="Calibri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"/>
        </w:rPr>
        <w:t>推进</w:t>
      </w:r>
      <w:r>
        <w:rPr>
          <w:rFonts w:hint="eastAsia" w:ascii="仿宋_GB2312" w:hAnsi="Calibri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"/>
        </w:rPr>
        <w:t>“</w:t>
      </w:r>
      <w:r>
        <w:rPr>
          <w:rFonts w:hint="default" w:ascii="仿宋_GB2312" w:hAnsi="Calibri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"/>
        </w:rPr>
        <w:t>三医联动</w:t>
      </w:r>
      <w:r>
        <w:rPr>
          <w:rFonts w:hint="eastAsia" w:ascii="仿宋_GB2312" w:hAnsi="Calibri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"/>
        </w:rPr>
        <w:t>”“</w:t>
      </w:r>
      <w:r>
        <w:rPr>
          <w:rFonts w:hint="default" w:ascii="仿宋_GB2312" w:hAnsi="Calibri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"/>
        </w:rPr>
        <w:t>六医统筹</w:t>
      </w:r>
      <w:r>
        <w:rPr>
          <w:rFonts w:hint="eastAsia" w:ascii="仿宋_GB2312" w:hAnsi="Calibri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"/>
        </w:rPr>
        <w:t>”</w:t>
      </w:r>
      <w:r>
        <w:rPr>
          <w:rFonts w:hint="default" w:ascii="仿宋_GB2312" w:hAnsi="Calibri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"/>
        </w:rPr>
        <w:t>改革</w:t>
      </w:r>
      <w:r>
        <w:rPr>
          <w:rFonts w:hint="eastAsia" w:ascii="仿宋_GB2312" w:hAnsi="Calibri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"/>
        </w:rPr>
        <w:t>，深化县域医共体建设，聚力攻坚</w:t>
      </w:r>
      <w:r>
        <w:rPr>
          <w:rFonts w:hint="default" w:ascii="仿宋_GB2312" w:hAnsi="Calibri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"/>
        </w:rPr>
        <w:t>县人民医院迁建等11个重点医疗卫生项目</w:t>
      </w:r>
      <w:r>
        <w:rPr>
          <w:rFonts w:hint="eastAsia" w:ascii="仿宋_GB2312" w:hAnsi="Calibri" w:eastAsia="仿宋_GB2312" w:cs="仿宋_GB2312"/>
          <w:b w:val="0"/>
          <w:color w:val="auto"/>
          <w:kern w:val="2"/>
          <w:sz w:val="32"/>
          <w:szCs w:val="32"/>
          <w:highlight w:val="none"/>
          <w:lang w:val="en-US" w:eastAsia="zh-CN" w:bidi="ar"/>
        </w:rPr>
        <w:t>，力争国家卫生乡镇创建覆盖率达90%以上。推动文体事业发展，深入实施文化惠民工程，全面投用县文化“三馆一团”，高水平构建“15分钟品质文化生活圈”，实施体育设施普惠行动，完善基本体育设施布局，构建城市社区“10分钟健身圈”，争创省级体育现代化县。支持妇女儿童、青年、残疾人、慈善等事业加快发展。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（七）提升社会治理水平，推进县域治理现代化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一是提升治理管理体系。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推进县域社会治理现代化，迭代升级“一中心四平台一网格”，不断提升矛盾纠纷排查化解能力，全面拓展“综治网格”范围，加强微网格数字化精密智控水平，推动信访积案动态清零，力争矛盾纠纷调处率达96%以上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二是深化法治永嘉建设。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加快更高水平法治政府建设，推进社会治理中心、共享法庭等平台实质化运行，实现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行政诉讼发案量和败诉率“双下降”、“裁执分离”案件清零，法律援助“全业务”一站式覆盖、“全资源”一站式共享。常态化推进扫黑除恶斗争，严厉打击电信网络诈骗等违法犯罪活动，确保实现平安“十四连创”。</w:t>
      </w: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32"/>
          <w:szCs w:val="32"/>
          <w:highlight w:val="none"/>
          <w:lang w:val="en-US" w:eastAsia="zh-CN" w:bidi="ar"/>
        </w:rPr>
        <w:t>三是增强应急响应能力。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科学精准做好疫情防控工作，全力以赴“保健康、防重症”，统筹抓好医疗资源筹备调度，加快推进发热门诊、病房、重症收治扩容，最大限度满足患者用药、就医需求。迭代完善“3030”隐患闭环管控机制，进一步防范政治、金融、房地产、政府债务等领域风险，加强自然灾害防治体系建设，扎实做好防汛防台抗旱、森林防火、防灾减灾等工作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  <w:t>三</w:t>
      </w:r>
      <w:r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eastAsia="zh-CN" w:bidi="ar"/>
        </w:rPr>
        <w:t>、2023年重大项目安排建议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2"/>
          <w:bottom w:val="none" w:color="000000" w:sz="0" w:space="1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baseline"/>
        <w:rPr>
          <w:rFonts w:hint="eastAsia" w:ascii="Times New Roman" w:hAnsi="Times New Roman" w:eastAsia="楷体_GB2312" w:cs="楷体_GB2312"/>
          <w:b/>
          <w:bCs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_GB2312"/>
          <w:b/>
          <w:bCs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（一）重大建设项目计划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2"/>
          <w:bottom w:val="none" w:color="000000" w:sz="0" w:space="10"/>
          <w:right w:val="none" w:color="000000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default" w:ascii="仿宋_GB2312" w:hAnsi="仿宋_GB2312" w:cs="仿宋_GB2312"/>
          <w:color w:val="0D0D0D" w:themeColor="text1" w:themeTint="F2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</w:pPr>
      <w:r>
        <w:rPr>
          <w:rFonts w:hint="eastAsia" w:ascii="仿宋_GB2312" w:hAnsi="仿宋_GB2312" w:cs="仿宋_GB2312"/>
          <w:color w:val="0D0D0D" w:themeColor="text1" w:themeTint="F2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2023年，全县拟安排亿元以上重大实施项目181个，总投资2058.9亿元。其中，重大续建项目113个，年度计划投资160.68亿元；重大开工项目68个，年度计划投资100.8亿元。拟安排重大前期项目53个，总投资1188.4亿元。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2"/>
          <w:bottom w:val="none" w:color="000000" w:sz="0" w:space="10"/>
          <w:right w:val="none" w:color="000000" w:sz="0" w:space="0"/>
        </w:pBdr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jc w:val="both"/>
        <w:textAlignment w:val="baseline"/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宋体" w:cs="仿宋_GB2312"/>
          <w:color w:val="0D0D0D" w:themeColor="text1" w:themeTint="F2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color w:val="0D0D0D" w:themeColor="text1" w:themeTint="F2"/>
          <w:kern w:val="0"/>
          <w:sz w:val="32"/>
          <w:szCs w:val="32"/>
          <w:highlight w:val="none"/>
          <w:lang w:val="en-US" w:eastAsia="zh-CN" w:bidi="ar"/>
          <w14:textFill>
            <w14:solidFill>
              <w14:schemeClr w14:val="tx1">
                <w14:lumMod w14:val="95000"/>
                <w14:lumOff w14:val="5000"/>
              </w14:schemeClr>
            </w14:solidFill>
          </w14:textFill>
        </w:rPr>
        <w:t>——</w:t>
      </w:r>
      <w:r>
        <w:rPr>
          <w:rFonts w:hint="eastAsia" w:ascii="仿宋_GB2312" w:hAnsi="仿宋_GB2312" w:eastAsia="仿宋_GB2312" w:cs="仿宋_GB2312"/>
          <w:b/>
          <w:bCs w:val="0"/>
          <w:snapToGrid w:val="0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重大续建项目清单：</w:t>
      </w:r>
      <w:r>
        <w:rPr>
          <w:rFonts w:hint="eastAsia" w:ascii="仿宋_GB2312" w:hAnsi="仿宋_GB2312" w:eastAsia="仿宋_GB2312" w:cs="仿宋_GB2312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拟安排亿元以上重大续建项目113个，继续推进杭州至温州铁路一期工程义乌至温州永嘉段、永嘉县人民医院迁建工程、雅林未来社区等项目，年度计划投资160.68亿元。其中，交通项目10个，年度计划投资32.25亿元；农林水利、能源项目5个，年度计划投资2.27亿元；社会发展项目18个，年度计划投资18.81亿元；现代产业项目24个，年度计划投资28.6亿元；城市有机更新项目56个，年度计划投资78.75亿元。</w:t>
      </w:r>
      <w:r>
        <w:rPr>
          <w:rFonts w:hint="eastAsia" w:ascii="仿宋_GB2312" w:hAnsi="仿宋_GB2312" w:eastAsia="仿宋_GB2312" w:cs="仿宋_GB2312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br w:type="textWrapping"/>
      </w:r>
      <w:r>
        <w:rPr>
          <w:rFonts w:hint="eastAsia" w:ascii="仿宋_GB2312" w:hAnsi="仿宋_GB2312" w:cs="仿宋_GB2312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hint="eastAsia" w:ascii="仿宋_GB2312" w:hAnsi="仿宋_GB2312" w:eastAsia="仿宋_GB2312" w:cs="仿宋_GB2312"/>
          <w:bCs/>
          <w:snapToGrid w:val="0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——</w:t>
      </w:r>
      <w:r>
        <w:rPr>
          <w:rFonts w:hint="eastAsia" w:ascii="仿宋_GB2312" w:hAnsi="仿宋_GB2312" w:eastAsia="仿宋_GB2312" w:cs="仿宋_GB2312"/>
          <w:b/>
          <w:bCs w:val="0"/>
          <w:snapToGrid w:val="0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重大开工项目清单：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highlight w:val="none"/>
          <w:lang w:val="en-US" w:eastAsia="zh-CN" w:bidi="ar-SA"/>
        </w:rPr>
        <w:t>拟安排重大开工项目68个，力争开工永嘉桥头林福至青田段公路工程、比亚迪新能源动力电池生产基地项目</w:t>
      </w:r>
      <w:r>
        <w:rPr>
          <w:rFonts w:hint="eastAsia" w:ascii="仿宋_GB2312" w:hAnsi="仿宋_GB2312" w:cs="仿宋_GB2312"/>
          <w:bCs/>
          <w:snapToGrid w:val="0"/>
          <w:color w:val="auto"/>
          <w:kern w:val="0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highlight w:val="none"/>
          <w:lang w:val="en-US" w:eastAsia="zh-CN" w:bidi="ar-SA"/>
        </w:rPr>
        <w:t>中天科技教育装备智造基地一期等项目，年度计划投资100.8亿元。其中，交通项目6个，年度计划投资7.2亿元；农林水利、能源项目4个，年度计划投资8.9亿元；社会事业项目4个，年度计划投资0.5亿；现代产业项目18个，年度计划投资29.1亿元；城市有机更新项目36个，年度计划投资55.1亿元。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highlight w:val="none"/>
          <w:lang w:val="en-US" w:eastAsia="zh-CN" w:bidi="ar-SA"/>
        </w:rPr>
        <w:br w:type="textWrapping"/>
      </w:r>
      <w:r>
        <w:rPr>
          <w:rFonts w:hint="eastAsia" w:ascii="仿宋_GB2312" w:hAnsi="仿宋_GB2312" w:cs="仿宋_GB2312"/>
          <w:bCs/>
          <w:snapToGrid w:val="0"/>
          <w:color w:val="auto"/>
          <w:kern w:val="0"/>
          <w:sz w:val="32"/>
          <w:szCs w:val="32"/>
          <w:highlight w:val="none"/>
          <w:lang w:val="en-US" w:eastAsia="zh-CN" w:bidi="ar-SA"/>
        </w:rPr>
        <w:t xml:space="preserve">    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highlight w:val="none"/>
          <w:lang w:val="en-US" w:eastAsia="zh-CN" w:bidi="ar-SA"/>
        </w:rPr>
        <w:t>——</w:t>
      </w:r>
      <w:r>
        <w:rPr>
          <w:rFonts w:hint="eastAsia" w:ascii="仿宋_GB2312" w:hAnsi="仿宋_GB2312" w:eastAsia="仿宋_GB2312" w:cs="仿宋_GB2312"/>
          <w:b/>
          <w:bCs w:val="0"/>
          <w:snapToGrid w:val="0"/>
          <w:color w:val="000000" w:themeColor="text1"/>
          <w:kern w:val="0"/>
          <w:sz w:val="32"/>
          <w:szCs w:val="32"/>
          <w:highlight w:val="none"/>
          <w:lang w:val="en-US" w:eastAsia="zh-CN" w:bidi="ar-SA"/>
          <w14:textFill>
            <w14:solidFill>
              <w14:schemeClr w14:val="tx1"/>
            </w14:solidFill>
          </w14:textFill>
        </w:rPr>
        <w:t>重大前期项目清单：</w:t>
      </w:r>
      <w:r>
        <w:rPr>
          <w:rFonts w:hint="eastAsia" w:ascii="仿宋_GB2312" w:hAnsi="仿宋_GB2312" w:eastAsia="仿宋_GB2312" w:cs="仿宋_GB2312"/>
          <w:bCs/>
          <w:snapToGrid w:val="0"/>
          <w:color w:val="auto"/>
          <w:kern w:val="0"/>
          <w:sz w:val="32"/>
          <w:szCs w:val="32"/>
          <w:highlight w:val="none"/>
          <w:lang w:val="en-US" w:eastAsia="zh-CN" w:bidi="ar-SA"/>
        </w:rPr>
        <w:t>拟安排重大前期项目53个，努力完善智能泵阀小镇、金溪抽水蓄能电站、温岭至永嘉高速（永嘉段）等项目的前期工作，其中，交通项目12个；水利项目6个，能源项目4个；社会发展项目14个，其中市政道路及教育项目前期深度尚浅；现代产业项目17个，其中制造业项目6个，文旅融合项目7个，服务业项目4个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2"/>
          <w:bottom w:val="none" w:color="000000" w:sz="0" w:space="1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黑体" w:hAnsi="黑体" w:eastAsia="黑体" w:cs="黑体"/>
          <w:b w:val="0"/>
          <w:bCs w:val="0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lang w:val="en-US" w:eastAsia="zh-CN"/>
        </w:rPr>
        <w:t>2023年，全县将充分发挥重大项目在有效投资中的压舱石作用，聚焦重大续建项目、重大开工项目、重大前期项目3张清单，实施清单化、节点化管理，力争完成年度投资目标，助力经济稳进提质。同时，以“起步就要提速、开局就要争先”的劲头，开展“奋战一季度、冲刺开门红”投资攻坚行动，重点开展续建加速、开工提速、春节复工、要素政策保障四大攻坚，力争一季度项目投资完成投资62.5亿元以上，新建项目开工率达30%，推动投资量的合理增长和投资结构质的有效提升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2"/>
          <w:bottom w:val="none" w:color="000000" w:sz="0" w:space="1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baseline"/>
        <w:rPr>
          <w:rFonts w:hint="eastAsia" w:ascii="Times New Roman" w:hAnsi="Times New Roman" w:eastAsia="楷体_GB2312" w:cs="楷体_GB2312"/>
          <w:b/>
          <w:bCs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_GB2312"/>
          <w:b/>
          <w:bCs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（</w:t>
      </w:r>
      <w:r>
        <w:rPr>
          <w:rFonts w:hint="eastAsia" w:ascii="Times New Roman" w:hAnsi="Times New Roman" w:eastAsia="楷体_GB2312" w:cs="楷体_GB2312"/>
          <w:b/>
          <w:bCs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二</w:t>
      </w:r>
      <w:r>
        <w:rPr>
          <w:rFonts w:hint="eastAsia" w:ascii="Times New Roman" w:hAnsi="Times New Roman" w:eastAsia="楷体_GB2312" w:cs="楷体_GB2312"/>
          <w:b/>
          <w:bCs/>
          <w:color w:val="000000" w:themeColor="text1"/>
          <w:sz w:val="32"/>
          <w:szCs w:val="32"/>
          <w:highlight w:val="none"/>
          <w:u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Times New Roman" w:hAnsi="Times New Roman" w:eastAsia="楷体_GB2312" w:cs="楷体_GB2312"/>
          <w:b/>
          <w:bCs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一般性政府投资项目</w:t>
      </w:r>
      <w:r>
        <w:rPr>
          <w:rFonts w:hint="eastAsia" w:ascii="Times New Roman" w:hAnsi="Times New Roman" w:eastAsia="楷体_GB2312" w:cs="楷体_GB2312"/>
          <w:b/>
          <w:bCs/>
          <w:color w:val="000000" w:themeColor="text1"/>
          <w:sz w:val="32"/>
          <w:szCs w:val="32"/>
          <w:highlight w:val="none"/>
          <w:u w:val="none"/>
          <w:lang w:val="en-US" w:eastAsia="zh-CN"/>
          <w14:textFill>
            <w14:solidFill>
              <w14:schemeClr w14:val="tx1"/>
            </w14:solidFill>
          </w14:textFill>
        </w:rPr>
        <w:t>计划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2"/>
          <w:bottom w:val="none" w:color="000000" w:sz="0" w:space="1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初步安排一般性政府投资项目90个，年度计划投资32.96亿元。从资金来源来看，上级补助1.34亿元，县财政统筹解决4.78亿元，专项债解决26.16亿元，乡镇筹0.15亿元，自筹等其他来源0.29亿元；从行业来看，交通项目13个，年度计划投资2.52万元，农水项目12个，年度计划投资2.55亿元，教育项目5个，年度计划投资0.93万元，卫生项目9个，年度计划投资3.03亿元，文旅项目5个，年度计划投资1.70亿元，市政项目44个，年度计划投资22.14亿元，公共服务提升项目2个，年度计划投资0.09万元。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2"/>
          <w:bottom w:val="none" w:color="000000" w:sz="0" w:space="1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baseline"/>
        <w:rPr>
          <w:rFonts w:hint="eastAsia" w:ascii="Times New Roman" w:hAnsi="Times New Roman" w:eastAsia="楷体_GB2312" w:cs="楷体_GB2312"/>
          <w:b/>
          <w:bCs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楷体_GB2312" w:cs="楷体_GB2312"/>
          <w:b/>
          <w:bCs/>
          <w:color w:val="000000" w:themeColor="text1"/>
          <w:sz w:val="32"/>
          <w:szCs w:val="32"/>
          <w:highlight w:val="none"/>
          <w:u w:val="none"/>
          <w14:textFill>
            <w14:solidFill>
              <w14:schemeClr w14:val="tx1"/>
            </w14:solidFill>
          </w14:textFill>
        </w:rPr>
        <w:t>（三）项目要素保障</w:t>
      </w:r>
    </w:p>
    <w:p>
      <w:pPr>
        <w:pStyle w:val="16"/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000000" w:sz="0" w:space="0"/>
          <w:left w:val="none" w:color="000000" w:sz="0" w:space="2"/>
          <w:bottom w:val="none" w:color="000000" w:sz="0" w:space="10"/>
          <w:right w:val="none" w:color="000000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jc w:val="both"/>
        <w:textAlignment w:val="baseline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:highlight w:val="none"/>
          <w:lang w:eastAsia="zh-CN"/>
          <w14:textFill>
            <w14:solidFill>
              <w14:schemeClr w14:val="tx1"/>
            </w14:solidFill>
          </w14:textFill>
        </w:rPr>
        <w:t>一是强化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全周期项目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运行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</w:rPr>
        <w:t>机制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。实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施项目清单管理、条块合力攻坚、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领导挂钩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联系等机制，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突出清单化管理、节点化推进，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定目标、定节点、定责任、定时限，逐个项目抓攻坚、抓推进、抓落实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，确保完成年度目标计划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二是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强化要素政策保障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全链条抓好“争取、盘活、配置”工作，力争专项债券项目数和发行额度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、入选省重大项目数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不低于上一年水平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加快已发行资金使用，尽快形成实物工作量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highlight w:val="none"/>
          <w14:textFill>
            <w14:solidFill>
              <w14:schemeClr w14:val="tx1"/>
            </w14:solidFill>
          </w14:textFill>
        </w:rPr>
        <w:t>加强银项合作，争取更多政策性银行、商业银行授信，有效保障在建项目融资需求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优化提高土地资源要素保障，新增建设用地计划指标1100亩，完成做地储备800亩以上，完成批而未供消化1000亩以上、供而未用消化500亩以上。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编制完善土地征收成片开发方案。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三是</w:t>
      </w:r>
      <w:r>
        <w:rPr>
          <w:rFonts w:hint="eastAsia" w:ascii="仿宋_GB2312" w:hAnsi="仿宋_GB2312" w:eastAsia="仿宋_GB2312" w:cs="仿宋_GB2312"/>
          <w:b/>
          <w:bCs/>
          <w:color w:val="000000"/>
          <w:sz w:val="32"/>
          <w:szCs w:val="32"/>
          <w:highlight w:val="none"/>
          <w:lang w:eastAsia="zh-CN"/>
        </w:rPr>
        <w:t>强化督查激励机制保障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。建立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“赛马”比拼、集中晾晒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等机制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对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投资指标、重大项目推进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、要素争取等情况进行排名及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绩效评价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以晾晒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方式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实现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</w:rPr>
        <w:t>互比、互学、互促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eastAsia="zh-CN"/>
        </w:rPr>
        <w:t>，确保任务落到实处，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营造</w:t>
      </w:r>
      <w:r>
        <w:rPr>
          <w:rFonts w:hint="eastAsia" w:ascii="仿宋_GB2312" w:hAnsi="仿宋_GB2312" w:cs="仿宋_GB2312"/>
          <w:b w:val="0"/>
          <w:bCs w:val="0"/>
          <w:color w:val="000000"/>
          <w:sz w:val="32"/>
          <w:szCs w:val="32"/>
          <w:highlight w:val="none"/>
          <w:lang w:val="en-US" w:eastAsia="zh-CN"/>
        </w:rPr>
        <w:t>全县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上下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扩大有效投资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  <w:lang w:eastAsia="zh-CN"/>
        </w:rPr>
        <w:t>攻坚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32"/>
          <w:highlight w:val="none"/>
        </w:rPr>
        <w:t>行动热潮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12"/>
        <w:rPr>
          <w:rFonts w:hint="eastAsia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附件：1.2023年永嘉县国民经济和社会发展主要目标建议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1609" w:firstLineChars="503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2.2023年永嘉县国民经济和社会发展计划项目清单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1609" w:firstLineChars="503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3.名词解释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 xml:space="preserve">  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 xml:space="preserve">    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 xml:space="preserve"> 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 xml:space="preserve"> 附件1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</w:p>
    <w:p>
      <w:pPr>
        <w:spacing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年永嘉县国民经济和社会发展主要目标建议</w:t>
      </w:r>
    </w:p>
    <w:tbl>
      <w:tblPr>
        <w:tblStyle w:val="8"/>
        <w:tblW w:w="8890" w:type="dxa"/>
        <w:jc w:val="center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1146"/>
        <w:gridCol w:w="2970"/>
        <w:gridCol w:w="2557"/>
        <w:gridCol w:w="1630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5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34"/>
                <w:tab w:val="center" w:pos="1869"/>
              </w:tabs>
              <w:overflowPunct w:val="0"/>
              <w:autoSpaceDE w:val="0"/>
              <w:autoSpaceDN w:val="0"/>
              <w:jc w:val="left"/>
              <w:rPr>
                <w:rFonts w:ascii="Times New Roman" w:hAnsi="Times New Roman" w:eastAsia="黑体"/>
                <w:bCs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bCs/>
                <w:snapToGrid w:val="0"/>
                <w:color w:val="auto"/>
                <w:kern w:val="0"/>
                <w:sz w:val="24"/>
                <w:highlight w:val="none"/>
              </w:rPr>
              <w:tab/>
            </w:r>
            <w:r>
              <w:rPr>
                <w:rFonts w:ascii="Times New Roman" w:hAnsi="Times New Roman" w:eastAsia="黑体"/>
                <w:bCs/>
                <w:snapToGrid w:val="0"/>
                <w:color w:val="auto"/>
                <w:kern w:val="0"/>
                <w:sz w:val="24"/>
                <w:highlight w:val="none"/>
              </w:rPr>
              <w:t xml:space="preserve">    </w:t>
            </w:r>
            <w:r>
              <w:rPr>
                <w:rFonts w:hint="eastAsia" w:ascii="Times New Roman" w:hAnsi="Times New Roman" w:eastAsia="黑体"/>
                <w:bCs/>
                <w:snapToGrid w:val="0"/>
                <w:color w:val="auto"/>
                <w:kern w:val="0"/>
                <w:sz w:val="24"/>
                <w:highlight w:val="none"/>
              </w:rPr>
              <w:t>指标名称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黑体"/>
                <w:bCs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黑体"/>
                <w:bCs/>
                <w:snapToGrid w:val="0"/>
                <w:color w:val="auto"/>
                <w:kern w:val="0"/>
                <w:sz w:val="24"/>
                <w:highlight w:val="none"/>
              </w:rPr>
              <w:t>202</w:t>
            </w:r>
            <w:r>
              <w:rPr>
                <w:rFonts w:hint="eastAsia" w:ascii="Times New Roman" w:hAnsi="Times New Roman" w:eastAsia="黑体"/>
                <w:bCs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黑体"/>
                <w:bCs/>
                <w:snapToGrid w:val="0"/>
                <w:color w:val="auto"/>
                <w:kern w:val="0"/>
                <w:sz w:val="24"/>
                <w:highlight w:val="none"/>
              </w:rPr>
              <w:t>年目标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黑体"/>
                <w:bCs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黑体"/>
                <w:bCs/>
                <w:snapToGrid w:val="0"/>
                <w:color w:val="auto"/>
                <w:kern w:val="0"/>
                <w:sz w:val="24"/>
                <w:highlight w:val="none"/>
              </w:rPr>
              <w:t>指标属性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经济发展</w:t>
            </w: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地区生产总值（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GDP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）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增长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6.5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%</w:t>
            </w: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左右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全员劳动生产率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增长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%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一般公共预算收入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增长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%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规上工业增加值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增长9%左右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旅游业增加值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增长9%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固定资产投资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增长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10%以上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240" w:firstLineChars="100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 xml:space="preserve"># 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高新技术产业投资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增长10%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left="479" w:leftChars="228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交通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、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能源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和水利投资</w:t>
            </w:r>
          </w:p>
        </w:tc>
        <w:tc>
          <w:tcPr>
            <w:tcW w:w="255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增长10%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exac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300" w:lineRule="exact"/>
              <w:ind w:firstLine="480" w:firstLineChars="200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制造业投资</w:t>
            </w:r>
          </w:p>
        </w:tc>
        <w:tc>
          <w:tcPr>
            <w:tcW w:w="255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增长15%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社会消费品零售总额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增长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6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%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exac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网络零售额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增长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%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exact"/>
          <w:jc w:val="center"/>
        </w:trPr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科技创新</w:t>
            </w: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R&amp;D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经费支出占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GDP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比重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达到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2.</w:t>
            </w: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26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%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exac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每万人高价值发明专利拥有量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3.8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个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数字经济核心产业制造业增加值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增长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1</w:t>
            </w: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0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%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exac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战略性新兴产业增加值占规上工业增加值比重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达到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3</w:t>
            </w: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7.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5%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exact"/>
          <w:jc w:val="center"/>
        </w:trPr>
        <w:tc>
          <w:tcPr>
            <w:tcW w:w="58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改革开放</w:t>
            </w: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货物贸易进出口额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增长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7%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exac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货物贸易出口总额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增长</w:t>
            </w: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%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exac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实际利用外资额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6000万美元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依申请政务服务办件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“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一网通办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”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率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cs="宋体"/>
                <w:snapToGrid w:val="0"/>
                <w:color w:val="auto"/>
                <w:kern w:val="0"/>
                <w:sz w:val="24"/>
                <w:highlight w:val="none"/>
                <w:cs/>
              </w:rPr>
              <w:t>达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到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9</w:t>
            </w: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8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%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城镇常住居民人均可支配收入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增</w:t>
            </w:r>
            <w:r>
              <w:rPr>
                <w:rFonts w:hint="eastAsia" w:cs="宋体"/>
                <w:snapToGrid w:val="0"/>
                <w:color w:val="auto"/>
                <w:kern w:val="0"/>
                <w:sz w:val="24"/>
                <w:highlight w:val="none"/>
                <w:cs/>
              </w:rPr>
              <w:t>长</w:t>
            </w:r>
            <w:r>
              <w:rPr>
                <w:rFonts w:hint="eastAsia" w:cs="宋体"/>
                <w:snapToGrid w:val="0"/>
                <w:color w:val="auto"/>
                <w:kern w:val="0"/>
                <w:sz w:val="24"/>
                <w:highlight w:val="none"/>
                <w:cs w:val="0"/>
                <w:lang w:val="en-US" w:eastAsia="zh-CN"/>
              </w:rPr>
              <w:t>7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.5%</w:t>
            </w: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左右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农村常住居民人均可支配收入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增</w:t>
            </w:r>
            <w:r>
              <w:rPr>
                <w:rFonts w:hint="eastAsia" w:cs="宋体"/>
                <w:snapToGrid w:val="0"/>
                <w:color w:val="auto"/>
                <w:kern w:val="0"/>
                <w:sz w:val="24"/>
                <w:highlight w:val="none"/>
                <w:cs/>
              </w:rPr>
              <w:t>长</w:t>
            </w:r>
            <w:r>
              <w:rPr>
                <w:rFonts w:hint="eastAsia" w:cs="宋体"/>
                <w:snapToGrid w:val="0"/>
                <w:color w:val="auto"/>
                <w:kern w:val="0"/>
                <w:sz w:val="24"/>
                <w:highlight w:val="none"/>
                <w:cs w:val="0"/>
                <w:lang w:val="en-US" w:eastAsia="zh-CN"/>
              </w:rPr>
              <w:t>8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.5%</w:t>
            </w: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左右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城乡居民收入比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有所收窄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exac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城镇新增就业人数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8000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人以上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exac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 xml:space="preserve"> </w:t>
            </w: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每千人口拥有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3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岁以下婴幼儿托位数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3</w:t>
            </w: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.5</w:t>
            </w:r>
            <w:r>
              <w:rPr>
                <w:rFonts w:hint="eastAsia" w:cs="宋体"/>
                <w:snapToGrid w:val="0"/>
                <w:color w:val="auto"/>
                <w:kern w:val="0"/>
                <w:sz w:val="24"/>
                <w:highlight w:val="none"/>
                <w:cs/>
              </w:rPr>
              <w:t>个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exac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每千人口拥有执业（助理）医师数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3.</w:t>
            </w: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42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个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exac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每万老年人口拥有持证养老护理员数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32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人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exac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人均体育场地面积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hint="default"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  <w:lang w:val="en-US" w:eastAsia="zh-CN"/>
              </w:rPr>
              <w:t>2.98㎡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预期性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" w:hRule="exac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亿元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GDP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生产安全事故死亡率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下降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15%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exact"/>
          <w:jc w:val="center"/>
        </w:trPr>
        <w:tc>
          <w:tcPr>
            <w:tcW w:w="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生态环境</w:t>
            </w: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单位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GDP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能源消耗降低率</w:t>
            </w:r>
          </w:p>
        </w:tc>
        <w:tc>
          <w:tcPr>
            <w:tcW w:w="255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完成市</w:t>
            </w:r>
            <w:r>
              <w:rPr>
                <w:rFonts w:hint="eastAsia" w:cs="宋体"/>
                <w:snapToGrid w:val="0"/>
                <w:color w:val="auto"/>
                <w:kern w:val="0"/>
                <w:sz w:val="24"/>
                <w:highlight w:val="none"/>
                <w:cs/>
              </w:rPr>
              <w:t>级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下</w:t>
            </w:r>
            <w:r>
              <w:rPr>
                <w:rFonts w:hint="eastAsia" w:cs="宋体"/>
                <w:snapToGrid w:val="0"/>
                <w:color w:val="auto"/>
                <w:kern w:val="0"/>
                <w:sz w:val="24"/>
                <w:highlight w:val="none"/>
                <w:cs/>
              </w:rPr>
              <w:t>达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目标</w:t>
            </w:r>
          </w:p>
        </w:tc>
        <w:tc>
          <w:tcPr>
            <w:tcW w:w="163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shd w:val="clear" w:color="FFFFFF" w:fill="D9D9D9"/>
              </w:rPr>
            </w:pP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主要污染物排放量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化学需氧量</w:t>
            </w:r>
          </w:p>
        </w:tc>
        <w:tc>
          <w:tcPr>
            <w:tcW w:w="255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完成市</w:t>
            </w:r>
            <w:r>
              <w:rPr>
                <w:rFonts w:hint="eastAsia" w:cs="宋体"/>
                <w:snapToGrid w:val="0"/>
                <w:color w:val="auto"/>
                <w:kern w:val="0"/>
                <w:sz w:val="24"/>
                <w:highlight w:val="none"/>
                <w:cs/>
              </w:rPr>
              <w:t>级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下</w:t>
            </w:r>
            <w:r>
              <w:rPr>
                <w:rFonts w:hint="eastAsia" w:cs="宋体"/>
                <w:snapToGrid w:val="0"/>
                <w:color w:val="auto"/>
                <w:kern w:val="0"/>
                <w:sz w:val="24"/>
                <w:highlight w:val="none"/>
                <w:cs/>
              </w:rPr>
              <w:t>达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目标</w:t>
            </w:r>
          </w:p>
        </w:tc>
        <w:tc>
          <w:tcPr>
            <w:tcW w:w="163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exac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shd w:val="clear" w:color="FFFFFF" w:fill="D9D9D9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氨氮</w:t>
            </w:r>
          </w:p>
        </w:tc>
        <w:tc>
          <w:tcPr>
            <w:tcW w:w="2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3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shd w:val="clear" w:color="FFFFFF" w:fill="D9D9D9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挥发性有机物</w:t>
            </w:r>
          </w:p>
        </w:tc>
        <w:tc>
          <w:tcPr>
            <w:tcW w:w="2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3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exac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shd w:val="clear" w:color="FFFFFF" w:fill="D9D9D9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氮氧化物</w:t>
            </w:r>
          </w:p>
        </w:tc>
        <w:tc>
          <w:tcPr>
            <w:tcW w:w="255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</w:p>
        </w:tc>
        <w:tc>
          <w:tcPr>
            <w:tcW w:w="163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exac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shd w:val="clear" w:color="FFFFFF" w:fill="D9D9D9"/>
              </w:rPr>
            </w:pPr>
          </w:p>
        </w:tc>
        <w:tc>
          <w:tcPr>
            <w:tcW w:w="41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城市空气质量优良率</w:t>
            </w:r>
          </w:p>
        </w:tc>
        <w:tc>
          <w:tcPr>
            <w:tcW w:w="255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完成市</w:t>
            </w:r>
            <w:r>
              <w:rPr>
                <w:rFonts w:hint="eastAsia" w:cs="宋体"/>
                <w:snapToGrid w:val="0"/>
                <w:color w:val="auto"/>
                <w:kern w:val="0"/>
                <w:sz w:val="24"/>
                <w:highlight w:val="none"/>
                <w:cs/>
              </w:rPr>
              <w:t>级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下</w:t>
            </w:r>
            <w:r>
              <w:rPr>
                <w:rFonts w:hint="eastAsia" w:cs="宋体"/>
                <w:snapToGrid w:val="0"/>
                <w:color w:val="auto"/>
                <w:kern w:val="0"/>
                <w:sz w:val="24"/>
                <w:highlight w:val="none"/>
                <w:cs/>
              </w:rPr>
              <w:t>达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目标</w:t>
            </w:r>
          </w:p>
        </w:tc>
        <w:tc>
          <w:tcPr>
            <w:tcW w:w="163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exac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shd w:val="clear" w:color="FFFFFF" w:fill="D9D9D9"/>
              </w:rPr>
            </w:pPr>
          </w:p>
        </w:tc>
        <w:tc>
          <w:tcPr>
            <w:tcW w:w="411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城市细颗粒物（</w:t>
            </w: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PM2.5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）平均浓度</w:t>
            </w:r>
          </w:p>
        </w:tc>
        <w:tc>
          <w:tcPr>
            <w:tcW w:w="255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完成市</w:t>
            </w:r>
            <w:r>
              <w:rPr>
                <w:rFonts w:hint="eastAsia" w:cs="宋体"/>
                <w:snapToGrid w:val="0"/>
                <w:color w:val="auto"/>
                <w:kern w:val="0"/>
                <w:sz w:val="24"/>
                <w:highlight w:val="none"/>
                <w:cs/>
              </w:rPr>
              <w:t>级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下</w:t>
            </w:r>
            <w:r>
              <w:rPr>
                <w:rFonts w:hint="eastAsia" w:cs="宋体"/>
                <w:snapToGrid w:val="0"/>
                <w:color w:val="auto"/>
                <w:kern w:val="0"/>
                <w:sz w:val="24"/>
                <w:highlight w:val="none"/>
                <w:cs/>
              </w:rPr>
              <w:t>达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目标</w:t>
            </w:r>
          </w:p>
        </w:tc>
        <w:tc>
          <w:tcPr>
            <w:tcW w:w="163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约束性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exact"/>
          <w:jc w:val="center"/>
        </w:trPr>
        <w:tc>
          <w:tcPr>
            <w:tcW w:w="58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  <w:shd w:val="clear" w:color="FFFFFF" w:fill="D9D9D9"/>
              </w:rPr>
            </w:pPr>
          </w:p>
        </w:tc>
        <w:tc>
          <w:tcPr>
            <w:tcW w:w="4116" w:type="dxa"/>
            <w:gridSpan w:val="2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spacing w:line="300" w:lineRule="exact"/>
              <w:jc w:val="left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地表水省控及以上断面达到或好于</w:t>
            </w:r>
            <w:r>
              <w:rPr>
                <w:rFonts w:hint="eastAsia" w:ascii="宋体" w:hAnsi="宋体" w:cs="宋体"/>
                <w:snapToGrid w:val="0"/>
                <w:color w:val="auto"/>
                <w:kern w:val="0"/>
                <w:sz w:val="24"/>
                <w:highlight w:val="none"/>
              </w:rPr>
              <w:t>Ⅲ</w:t>
            </w: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类水体比例</w:t>
            </w:r>
          </w:p>
        </w:tc>
        <w:tc>
          <w:tcPr>
            <w:tcW w:w="2557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100%</w:t>
            </w:r>
          </w:p>
        </w:tc>
        <w:tc>
          <w:tcPr>
            <w:tcW w:w="1630" w:type="dxa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overflowPunct w:val="0"/>
              <w:autoSpaceDE w:val="0"/>
              <w:autoSpaceDN w:val="0"/>
              <w:jc w:val="center"/>
              <w:rPr>
                <w:rFonts w:ascii="Times New Roman" w:hAns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</w:pPr>
            <w:r>
              <w:rPr>
                <w:rFonts w:hint="eastAsia" w:ascii="Times New Roman" w:eastAsia="仿宋_GB2312"/>
                <w:snapToGrid w:val="0"/>
                <w:color w:val="auto"/>
                <w:kern w:val="0"/>
                <w:sz w:val="24"/>
                <w:highlight w:val="none"/>
              </w:rPr>
              <w:t>约束性</w:t>
            </w:r>
          </w:p>
        </w:tc>
      </w:tr>
    </w:tbl>
    <w:p>
      <w:pPr>
        <w:spacing w:line="580" w:lineRule="exact"/>
        <w:rPr>
          <w:rFonts w:ascii="Times New Roman" w:hAnsi="Times New Roman" w:eastAsia="仿宋"/>
          <w:color w:val="auto"/>
          <w:sz w:val="32"/>
          <w:szCs w:val="32"/>
          <w:highlight w:val="none"/>
        </w:rPr>
      </w:pPr>
    </w:p>
    <w:p>
      <w:pPr>
        <w:pStyle w:val="2"/>
        <w:rPr>
          <w:rFonts w:eastAsia="宋体" w:cs="Times New Roman"/>
          <w:color w:val="auto"/>
          <w:highlight w:val="none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ind w:firstLine="640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附件2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32"/>
          <w:szCs w:val="32"/>
          <w:highlight w:val="none"/>
          <w:lang w:val="en-US" w:eastAsia="zh-CN" w:bidi="ar"/>
        </w:rPr>
      </w:pPr>
    </w:p>
    <w:p>
      <w:pPr>
        <w:spacing w:afterLines="50" w:line="56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highlight w:val="none"/>
        </w:rPr>
        <w:t>2023年永嘉县国民经济和社会发展计划项目清单</w:t>
      </w:r>
    </w:p>
    <w:tbl>
      <w:tblPr>
        <w:tblStyle w:val="8"/>
        <w:tblW w:w="10159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7"/>
        <w:gridCol w:w="5113"/>
        <w:gridCol w:w="1365"/>
        <w:gridCol w:w="1440"/>
        <w:gridCol w:w="150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所在乡镇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总面积（亩）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类别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保障性租赁住房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全县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157.5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保障性安居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瓯北街道2022-5#地块（智能泵阀二期）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48.81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瓯北街道2022-6#地块（智能泵阀二期）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56.67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三浦（浦一、浦二、浦西社区）片城中村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改造项目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瓯北街道2022-8#-1（青峰山）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瓯北街道2018-7#地块（104-瓯北大道）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22.5795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瓯北街道2019-10#地块（塘头出让）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12.9885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瓯北街道2019-11#地块（国信南出让）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21.1095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瓯北街道2014-3#地块（马岙小微园）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14.97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瓯北街道2014-4#地块（马岙小微园）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15.4725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瓯北街道2020-1#地块（东方出让）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瓯北街道2019-19#地块（工业全域治理）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1.4145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瓯北街道2022-13#地块（工业全域治理）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0.207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瓯北街道2019-18#地块（工业全域治理）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3.3645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瓯北街道2022-12#地块（工业全域治理）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0.2025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瓯北街道2019-15#地块（工业全域治理）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3.255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瓯北街道2022-11#地块（工业全域治理）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0.555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瓯北街道2022-7#地块（工业全域治理）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1.0845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瓯北街道2022-14#地块（工业全域治理）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0.0315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瓯北街道2022-9#地块（和二）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13.4625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瓯北街道2022-10#地块（泵阀配套）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瓯北街道D0-05-19、D0-05-20、D0-05-21、D0-05-27、D0-05-28、D0-01-48、D0-01-49、D0-01-50地块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瓯北街道D0-06-27地块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瓯北街道D0-06-29地块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30.84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瓯北街道ZX-B3-01、ZX-B3-02、ZX-B3-03地块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112.93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罗浮三产安置房三期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保障性安居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瓯北街道2019-12#地块（宝丰阀门边角地）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0.8865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永嘉县LNG储备站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18.2895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双塔公园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瓯北街道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216.555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黄田街道2021-4#地块（大学生创业园对面）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31.19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黄田街道2021-2#地块（联丰安置）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保障性安居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黄田街道2022-3号地块（金螳螂）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黄田街道2022-4号地块（驰鹰电缆）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14.98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黄田街道2022-5号地块(凤屿小微园边角地)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8.1867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黄田街道2022-6号地块（原佳盛达）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93.06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黄田街道夹里村地块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保障性安居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温州市交通科技产业园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14.82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黄田街道2022-7#地块（埭上小微园）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169.91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黄田街道2022-8#地块（埭下）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9.57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永嘉县粮食批发市场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黄田街道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三江街道2021-1#地块(数字经济）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三江街道2021-4#地块(电信安置）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0.65 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三江街道2017-1#地块（江头村）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24.6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三江街道2023-6#地块（梅园村）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3.09 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三江街道2023-7#地块（江头村）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三江街道2023-8#地块（浦东村）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211.29 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三江街道2022-1#地块（后江村）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三江街道后江村股份经济合作社安置房二期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47.14 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三江街道2022-3#地块（待出让）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三江街道2022-4#地块（待出让）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104.91 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三江街道2023-1#地块建设项目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50.76 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三江街道2023-10#地块（野树山）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150.45 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三江街道2021-5#、2021-6#、2021-7#地块（长梅山体片区）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210.5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三江街道2023-2#、2023-3#、2023-4#、2023-5#地块（北外滩）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三江街道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永嘉县乌牛街道岭下工业园区4#地块（原奥康）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250.9665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永嘉县乌牛街道2022-（1#-3#地块）地块（灰库地块）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乌牛街道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394.235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top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永嘉县桥头镇2021-9号地块(菇溪河边边角地)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桥头镇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6.94 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桥下镇2022-27#地块（大龙山隔离点）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桥下镇2022-28#地块（大龙山隔离点）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36.84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桥下镇2022-29#地块（大龙山隔离点）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桥下镇2018-1#地块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16.64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桥下镇2021-10#地块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0.39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桥下镇2023-2#地块（樟岙）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桥下镇2020-9#地块（温州宝德龙玩具有限公司）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2.56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桥下镇2021-1#地块（奇特乐边角地）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桥下镇2021-2地块（奇特乐边角地）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3.38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桥下镇2022-3地块(新纵边上边角地)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桥下镇2022-9#地块(康龙世界游乐边角地)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4.98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桥下镇2023-3#地块（小京岙）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桥下镇2021-7＃地块（建材市场地块建设项目）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58.25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桥下镇方岙底工业项目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桥下镇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100.94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东城街道2023-1#、2023-2#、2023-3#地块（东城街道峙口高端制造产业园）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东城街道城中村改造永建路西侧项目（西至屿山公园与机关食堂，东至永建路西侧，南至屿山巷北侧）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浦口一期区块拆迁(东至望江路，西至永建路西侧，南至环城西路北侧，北至码道街南侧）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保障性安居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东城街道2023-6#地块（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永嘉子溪山居高端住宅项目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东城街道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45.6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东城街道2023-5#地块（聚源五金、山仓河之间）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东城街道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南城街道2022-1#地块（综合加油站）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4.21 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龙华村（应山）宅基地土地复垦安置房建设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工程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19.4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保障性安居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新芦村（新民）三产返回安置房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21.53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保障性安居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80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新联村（原麻山村）保障性安置房工程建设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15.63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保障性安居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龙翔社区D、E、F地块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南城街道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242.27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保障性安居、成片开发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沙头镇2022-1#地块（宏泽热电）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7.44 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沙头镇2022-6#地块（复兴）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沙头镇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43.25 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浙江永嘉农村商业银行股份有限公司岩坦支行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岩坦镇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3 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金溪镇2023-1#地块（六龙商业综合体项目）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金溪镇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成片开发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永嘉县金溪镇生态搬迁项目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金溪镇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扶贫搬迁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  <w:jc w:val="center"/>
        </w:trPr>
        <w:tc>
          <w:tcPr>
            <w:tcW w:w="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5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永嘉县溪下乡养老服务中心建设项目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溪下乡</w:t>
            </w:r>
          </w:p>
        </w:tc>
        <w:tc>
          <w:tcPr>
            <w:tcW w:w="14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6.53</w:t>
            </w:r>
          </w:p>
        </w:tc>
        <w:tc>
          <w:tcPr>
            <w:tcW w:w="1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公共服务</w:t>
            </w:r>
          </w:p>
        </w:tc>
      </w:tr>
    </w:tbl>
    <w:p>
      <w:pPr>
        <w:pStyle w:val="2"/>
        <w:rPr>
          <w:rFonts w:hint="default"/>
          <w:highlight w:val="none"/>
          <w:lang w:val="en-US" w:eastAsia="zh-CN"/>
        </w:rPr>
      </w:pPr>
    </w:p>
    <w:p>
      <w:pPr>
        <w:pStyle w:val="2"/>
        <w:rPr>
          <w:rFonts w:hint="default"/>
          <w:highlight w:val="none"/>
          <w:lang w:val="en-US" w:eastAsia="zh-CN"/>
        </w:rPr>
      </w:pPr>
    </w:p>
    <w:p>
      <w:pPr>
        <w:pStyle w:val="2"/>
        <w:rPr>
          <w:rFonts w:hint="default"/>
          <w:highlight w:val="none"/>
          <w:lang w:val="en-US" w:eastAsia="zh-CN"/>
        </w:rPr>
      </w:pPr>
    </w:p>
    <w:p>
      <w:pPr>
        <w:pStyle w:val="2"/>
        <w:rPr>
          <w:rFonts w:hint="default"/>
          <w:highlight w:val="none"/>
          <w:lang w:val="en-US" w:eastAsia="zh-CN"/>
        </w:rPr>
      </w:pPr>
    </w:p>
    <w:p>
      <w:pPr>
        <w:pStyle w:val="2"/>
        <w:rPr>
          <w:rFonts w:hint="default"/>
          <w:highlight w:val="none"/>
          <w:lang w:val="en-US" w:eastAsia="zh-CN"/>
        </w:rPr>
      </w:pPr>
    </w:p>
    <w:p>
      <w:pPr>
        <w:pStyle w:val="2"/>
        <w:rPr>
          <w:rFonts w:hint="default"/>
          <w:highlight w:val="none"/>
          <w:lang w:val="en-US" w:eastAsia="zh-CN"/>
        </w:rPr>
      </w:pPr>
    </w:p>
    <w:p>
      <w:pPr>
        <w:pStyle w:val="2"/>
        <w:rPr>
          <w:rFonts w:hint="default"/>
          <w:highlight w:val="none"/>
          <w:lang w:val="en-US" w:eastAsia="zh-CN"/>
        </w:rPr>
      </w:pPr>
    </w:p>
    <w:p>
      <w:pPr>
        <w:pStyle w:val="2"/>
        <w:rPr>
          <w:rFonts w:hint="default"/>
          <w:highlight w:val="none"/>
          <w:lang w:val="en-US" w:eastAsia="zh-CN"/>
        </w:rPr>
      </w:pPr>
    </w:p>
    <w:p>
      <w:pPr>
        <w:pStyle w:val="2"/>
        <w:rPr>
          <w:rFonts w:hint="default"/>
          <w:highlight w:val="none"/>
          <w:lang w:val="en-US" w:eastAsia="zh-CN"/>
        </w:rPr>
      </w:pPr>
    </w:p>
    <w:p>
      <w:pPr>
        <w:pStyle w:val="2"/>
        <w:rPr>
          <w:rFonts w:hint="default"/>
          <w:highlight w:val="none"/>
          <w:lang w:val="en-US"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  <w:t>附件3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highlight w:val="none"/>
          <w:lang w:val="en-US" w:eastAsia="zh-CN" w:bidi="ar"/>
        </w:rPr>
        <w:t>名词解释</w:t>
      </w: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olor w:val="000000"/>
          <w:sz w:val="32"/>
          <w:szCs w:val="32"/>
          <w:u w:val="none" w:color="auto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1.“三重压力”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（P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2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）：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eastAsia="zh-CN"/>
        </w:rPr>
        <w:t>指我国经济发展面临需求收缩、供给冲击、预期转弱三重压力。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olor w:val="000000"/>
          <w:sz w:val="32"/>
          <w:szCs w:val="32"/>
          <w:u w:val="none" w:color="auto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2.“云上企业”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（P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4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）：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val="en-US" w:eastAsia="zh-CN"/>
        </w:rPr>
        <w:t>指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eastAsia="zh-CN"/>
        </w:rPr>
        <w:t>企业通过网络，将企业的基础系统、管理及业务部署到云端，利用网络便捷地获取云服务商提供的计算、存储、软件、数据等服务，以此提高资源配置效率、降低信息化建设成本、促进共享经济发展、加快新旧动能转换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3.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省“4+1”项目（P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5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）：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eastAsia="zh-CN"/>
        </w:rPr>
        <w:t>“4”指交通建设、生态环境和公共设施、高新技术产业、民间资本参与政府和社会资本合作(PPP)项目推介4大类工程包，“1”指省市县长项目工程。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i w:val="0"/>
          <w:color w:val="000000"/>
          <w:sz w:val="32"/>
          <w:szCs w:val="32"/>
          <w:u w:val="none" w:color="auto"/>
          <w:lang w:val="en-US" w:eastAsia="zh-CN"/>
        </w:rPr>
        <w:t>4.“三回流”（P6）：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val="en-US" w:eastAsia="zh-CN"/>
        </w:rPr>
        <w:t>指建立外贸企业、货物及数据外流名单，分层分类分档推进外贸企业、货物及数据“三回流”。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b w:val="0"/>
          <w:i w:val="0"/>
          <w:color w:val="000000"/>
          <w:sz w:val="32"/>
          <w:szCs w:val="32"/>
          <w:u w:val="none" w:color="auto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5.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“义新欧”（P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6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）：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val="en-US" w:eastAsia="zh-CN"/>
        </w:rPr>
        <w:t>指从中国义乌出发，经新疆阿拉山口口岸出境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eastAsia="zh-CN"/>
        </w:rPr>
        <w:t>，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val="en-US" w:eastAsia="zh-CN"/>
        </w:rPr>
        <w:t>前往中亚的铁路货运班列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6.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“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两万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”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助企行动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（P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7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）：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val="en-US" w:eastAsia="zh-CN"/>
        </w:rPr>
        <w:t>指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eastAsia="zh-CN"/>
        </w:rPr>
        <w:t>“万名干部进万企”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val="en-US" w:eastAsia="zh-CN"/>
        </w:rPr>
        <w:t>助企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eastAsia="zh-CN"/>
        </w:rPr>
        <w:t>专项行动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Times New Roman" w:hAnsi="Times New Roman" w:eastAsia="仿宋_GB2312" w:cs="Times New Roman"/>
          <w:b w:val="0"/>
          <w:i w:val="0"/>
          <w:color w:val="000000"/>
          <w:sz w:val="32"/>
          <w:szCs w:val="32"/>
          <w:u w:val="none" w:color="auto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7.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“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两山合作社”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（P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9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）：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val="en-US" w:eastAsia="zh-CN"/>
        </w:rPr>
        <w:t>指生态资源运营管理平台，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eastAsia="zh-CN"/>
        </w:rPr>
        <w:t>通过将生态资源进行分散式输入、集中式输出，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val="en-US" w:eastAsia="zh-CN"/>
        </w:rPr>
        <w:t>围绕生态资源进行明晰产权、规模化整合、转化提升、市场化交易和可持续运营，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eastAsia="zh-CN"/>
        </w:rPr>
        <w:t>从而实现生态资源的市场化运作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8.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“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共享法庭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”（P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10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）：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val="en-US" w:eastAsia="zh-CN"/>
        </w:rPr>
        <w:t>指架构在数字空间、虚拟在群众身边的人民法庭，以“不增编、不建房、快落实、广覆盖”为原则，因地制宜地依托镇街村社、行业组织现有硬件设施，以“一根网线、一块屏”为标准配置入驻并遍布镇街、村社及行业组织，有效解决人民法庭总体数量偏少、服务半径偏大的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9.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“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法院110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”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治理模式（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P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9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）：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val="en-US" w:eastAsia="zh-CN"/>
        </w:rPr>
        <w:t>指“共享法庭”与联勤警务站协同发力的县域治理模式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10.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“两个先行”（P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11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）：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val="en-US" w:eastAsia="zh-CN"/>
        </w:rPr>
        <w:t>指中国特色社会主义共同富裕先行和省域现代化先行。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11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.农业“双强”行动和“两非”整治（P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12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）：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val="en-US" w:eastAsia="zh-CN"/>
        </w:rPr>
        <w:t>指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eastAsia="zh-CN"/>
        </w:rPr>
        <w:t>科技强农、机械强农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val="en-US" w:eastAsia="zh-CN"/>
        </w:rPr>
        <w:t>行动和耕地“非农化”“非粮化”整治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12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.“一园两区三营四节”（P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13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）：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val="en-US" w:eastAsia="zh-CN"/>
        </w:rPr>
        <w:t>“一园”指楠溪江滩地音乐公园，“两区”指丽水街街区、狮子岩音乐人家街区，“三营”指楠溪江星巢音乐营、楠溪江COART艺术营和星巢沃克秀，“四节”指楠溪江ROCKTOWN、东海、星巢、草莓四个音乐节。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13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.“十个一”产业链链长制（P1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3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）：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val="en-US" w:eastAsia="zh-CN"/>
        </w:rPr>
        <w:t>为每个产业链配置“一位市级领导链长，一个由各联系秘书长、相关负责人和企业服务职能部门共同组成的‘链办’，一批链主链群企业，一个产业链图谱和发展规划，一套产业链支持政策，一批重点项目，一批产业发展空间，一系列公共服务平台，一个招商专班，一个行业协会商会”的工作机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default" w:ascii="仿宋_GB2312" w:hAnsi="仿宋_GB2312" w:eastAsia="仿宋_GB2312" w:cs="仿宋_GB2312"/>
          <w:b w:val="0"/>
          <w:i w:val="0"/>
          <w:color w:val="000000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u w:val="none" w:color="auto"/>
          <w:lang w:val="en-US" w:eastAsia="zh-CN" w:bidi="ar-SA"/>
        </w:rPr>
        <w:t>14</w:t>
      </w: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u w:val="none" w:color="auto"/>
          <w:lang w:val="en-US" w:eastAsia="zh-CN" w:bidi="ar-SA"/>
        </w:rPr>
        <w:t>.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u w:val="none" w:color="auto"/>
          <w:lang w:val="en-US" w:eastAsia="zh-CN" w:bidi="ar-SA"/>
        </w:rPr>
        <w:t>科技企业“双倍增”“双迈进”行动（P14）：</w:t>
      </w:r>
      <w:r>
        <w:rPr>
          <w:rFonts w:hint="eastAsia" w:ascii="Times New Roman" w:hAnsi="Times New Roman" w:eastAsia="仿宋_GB2312" w:cs="Times New Roman"/>
          <w:b w:val="0"/>
          <w:i w:val="0"/>
          <w:color w:val="000000"/>
          <w:sz w:val="32"/>
          <w:szCs w:val="32"/>
          <w:u w:val="none" w:color="auto"/>
          <w:lang w:val="en-US" w:eastAsia="zh-CN"/>
        </w:rPr>
        <w:t>“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2"/>
          <w:sz w:val="32"/>
          <w:szCs w:val="32"/>
          <w:u w:val="none" w:color="auto"/>
          <w:lang w:val="en-US" w:eastAsia="zh-CN" w:bidi="ar-SA"/>
        </w:rPr>
        <w:t>双倍增”指高新技术企业数、科技型中小企业数实现倍增，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2"/>
          <w:sz w:val="32"/>
          <w:szCs w:val="32"/>
          <w:highlight w:val="none"/>
          <w:u w:val="none" w:color="auto"/>
          <w:lang w:val="en-US" w:eastAsia="zh-CN" w:bidi="ar-SA"/>
        </w:rPr>
        <w:t>“双迈进”指高新技术企业向规上企业迈进、规上企业向高新技术企业迈进。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Times New Roman" w:hAnsi="Times New Roman" w:eastAsia="仿宋_GB2312" w:cs="Times New Roman"/>
          <w:b w:val="0"/>
          <w:i w:val="0"/>
          <w:color w:val="000000"/>
          <w:sz w:val="32"/>
          <w:szCs w:val="32"/>
          <w:u w:val="non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u w:val="none" w:color="auto"/>
          <w:lang w:val="en-US" w:eastAsia="zh-CN" w:bidi="ar-SA"/>
        </w:rPr>
        <w:t>15</w:t>
      </w: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u w:val="none" w:color="auto"/>
          <w:lang w:val="en-US" w:eastAsia="zh-CN" w:bidi="ar-SA"/>
        </w:rPr>
        <w:t>.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u w:val="none" w:color="auto"/>
          <w:lang w:val="en-US" w:eastAsia="zh-CN" w:bidi="ar-SA"/>
        </w:rPr>
        <w:t>“双尖双领”（P14）：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2"/>
          <w:sz w:val="32"/>
          <w:szCs w:val="32"/>
          <w:u w:val="none" w:color="auto"/>
          <w:lang w:val="en-US" w:eastAsia="zh-CN" w:bidi="ar-SA"/>
        </w:rPr>
        <w:t>指以“尖峰计划”“尖兵计划”“领雁计划”“领航计划”为统领的科技计划体系。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u w:val="none" w:color="auto"/>
          <w:lang w:val="en-US" w:eastAsia="zh-CN" w:bidi="ar-SA"/>
        </w:rPr>
        <w:t>16</w:t>
      </w: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u w:val="none" w:color="auto"/>
          <w:lang w:val="en-US" w:eastAsia="zh-CN" w:bidi="ar-SA"/>
        </w:rPr>
        <w:t>.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u w:val="none" w:color="auto"/>
          <w:lang w:val="en-US" w:eastAsia="zh-CN" w:bidi="ar-SA"/>
        </w:rPr>
        <w:t>“两新一重”（P14）：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2"/>
          <w:sz w:val="32"/>
          <w:szCs w:val="32"/>
          <w:u w:val="none" w:color="auto"/>
          <w:lang w:val="en-US" w:eastAsia="zh-CN" w:bidi="ar-SA"/>
        </w:rPr>
        <w:t>指新型基础设施、新型城镇化，以及交通、水利等重大工程。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3" w:firstLineChars="200"/>
        <w:textAlignment w:val="auto"/>
        <w:rPr>
          <w:rFonts w:hint="eastAsia" w:ascii="仿宋_GB2312" w:hAnsi="仿宋_GB2312" w:eastAsia="仿宋_GB2312" w:cs="仿宋_GB2312"/>
          <w:b w:val="0"/>
          <w:i w:val="0"/>
          <w:color w:val="000000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u w:val="none" w:color="auto"/>
          <w:lang w:val="en-US" w:eastAsia="zh-CN" w:bidi="ar-SA"/>
        </w:rPr>
        <w:t>17</w:t>
      </w:r>
      <w:r>
        <w:rPr>
          <w:rFonts w:hint="default" w:ascii="楷体_GB2312" w:hAnsi="楷体_GB2312" w:eastAsia="楷体_GB2312" w:cs="楷体_GB2312"/>
          <w:b/>
          <w:bCs/>
          <w:kern w:val="2"/>
          <w:sz w:val="32"/>
          <w:szCs w:val="32"/>
          <w:u w:val="none" w:color="auto"/>
          <w:lang w:val="en-US" w:eastAsia="zh-CN" w:bidi="ar-SA"/>
        </w:rPr>
        <w:t>.</w:t>
      </w:r>
      <w:r>
        <w:rPr>
          <w:rFonts w:hint="eastAsia" w:ascii="楷体_GB2312" w:hAnsi="楷体_GB2312" w:eastAsia="楷体_GB2312" w:cs="楷体_GB2312"/>
          <w:b/>
          <w:bCs/>
          <w:kern w:val="2"/>
          <w:sz w:val="32"/>
          <w:szCs w:val="32"/>
          <w:u w:val="none" w:color="auto"/>
          <w:lang w:val="en-US" w:eastAsia="zh-CN" w:bidi="ar-SA"/>
        </w:rPr>
        <w:t>“1612”体系（P16）：</w:t>
      </w:r>
      <w:r>
        <w:rPr>
          <w:rFonts w:hint="eastAsia" w:ascii="仿宋_GB2312" w:hAnsi="仿宋_GB2312" w:eastAsia="仿宋_GB2312" w:cs="仿宋_GB2312"/>
          <w:b w:val="0"/>
          <w:i w:val="0"/>
          <w:color w:val="000000"/>
          <w:kern w:val="2"/>
          <w:sz w:val="32"/>
          <w:szCs w:val="32"/>
          <w:u w:val="none" w:color="auto"/>
          <w:lang w:val="en-US" w:eastAsia="zh-CN" w:bidi="ar-SA"/>
        </w:rPr>
        <w:t>第一个“1”即一体化智能化公共数据平台，“6”即党建统领整体智治、数字政府、数字经济、数字社会、数字文化、数字法治六大系统，第二个“1”即基层治理系统，“2”即理论体系和制度规范体系，形成一体融合的改革工作大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18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.“一件事”改革（P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16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）：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val="en-US" w:eastAsia="zh-CN"/>
        </w:rPr>
        <w:t>指通过梳理整合、流程再造、信息共享，线上一个平台或线下一个窗口统一办理，形成“一窗受理、一次告知、一表申请、一套材料、一次提交、一次反馈、一次分办、一窗出件、一号服务、一键评价”的办理模式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19.“三医联动”“六医统筹”改革（P17）：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eastAsia="zh-CN"/>
        </w:rPr>
        <w:t>“三医联动”指医疗、医保、医药改革联动；“六医统筹”指医保、医疗、医药、医院、中医、医生“六医”统筹。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kern w:val="2"/>
          <w:sz w:val="32"/>
          <w:szCs w:val="32"/>
          <w:u w:val="none" w:color="auto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20.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县文化“三馆一团”（P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17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）：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val="en-US" w:eastAsia="zh-CN"/>
        </w:rPr>
        <w:t>“三馆”指县博物馆、县图书馆新馆、县文化馆新馆，“一团”指永嘉昆剧团新团部。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21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.“一中心四平台一网格”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eastAsia="zh-CN"/>
        </w:rPr>
        <w:t>（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P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17</w:t>
      </w:r>
      <w:r>
        <w:rPr>
          <w:rFonts w:hint="default" w:ascii="楷体_GB2312" w:hAnsi="楷体_GB2312" w:eastAsia="楷体_GB2312" w:cs="楷体_GB2312"/>
          <w:b/>
          <w:bCs/>
          <w:sz w:val="32"/>
          <w:szCs w:val="32"/>
          <w:u w:val="none" w:color="auto"/>
          <w:lang w:eastAsia="zh-CN"/>
        </w:rPr>
        <w:t>）：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val="en-US" w:eastAsia="zh-CN"/>
        </w:rPr>
        <w:t>“一中心”指县级社会治理中心；“四平台”指综治工作、市场监管、综合执法、便民服务四个基层治理功能性平台；“一网格”指村（社区）全科网格。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 w:firstLine="643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u w:val="none" w:color="auto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22.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eastAsia="zh-CN"/>
        </w:rPr>
        <w:t>“3030”闭环机制（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val="en-US" w:eastAsia="zh-CN"/>
        </w:rPr>
        <w:t>P18</w:t>
      </w:r>
      <w:r>
        <w:rPr>
          <w:rFonts w:hint="eastAsia" w:ascii="楷体_GB2312" w:hAnsi="楷体_GB2312" w:eastAsia="楷体_GB2312" w:cs="楷体_GB2312"/>
          <w:b/>
          <w:bCs/>
          <w:sz w:val="32"/>
          <w:szCs w:val="32"/>
          <w:u w:val="none" w:color="auto"/>
          <w:lang w:eastAsia="zh-CN"/>
        </w:rPr>
        <w:t>）：</w:t>
      </w:r>
      <w:r>
        <w:rPr>
          <w:rFonts w:hint="default" w:ascii="仿宋_GB2312" w:hAnsi="仿宋_GB2312" w:eastAsia="仿宋_GB2312" w:cs="仿宋_GB2312"/>
          <w:b w:val="0"/>
          <w:i w:val="0"/>
          <w:color w:val="000000"/>
          <w:sz w:val="32"/>
          <w:szCs w:val="32"/>
          <w:u w:val="none" w:color="auto"/>
          <w:lang w:val="en-US" w:eastAsia="zh-CN"/>
        </w:rPr>
        <w:t>指30天内排查整治30个问题的安全生产事故隐患“3030”闭环机制。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Times New Roman" w:hAnsi="Times New Roman" w:eastAsia="仿宋_GB2312" w:cs="Times New Roman"/>
          <w:b w:val="0"/>
          <w:i w:val="0"/>
          <w:color w:val="000000"/>
          <w:sz w:val="32"/>
          <w:szCs w:val="32"/>
          <w:u w:val="none" w:color="auto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Times New Roman" w:hAnsi="Times New Roman" w:eastAsia="仿宋_GB2312" w:cs="Times New Roman"/>
          <w:b w:val="0"/>
          <w:i w:val="0"/>
          <w:color w:val="000000"/>
          <w:sz w:val="32"/>
          <w:szCs w:val="32"/>
          <w:u w:val="none" w:color="auto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 w:ascii="Times New Roman" w:hAnsi="Times New Roman" w:eastAsia="仿宋_GB2312" w:cs="Times New Roman"/>
          <w:b w:val="0"/>
          <w:i w:val="0"/>
          <w:color w:val="000000"/>
          <w:sz w:val="32"/>
          <w:szCs w:val="32"/>
          <w:u w:val="none" w:color="auto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 w:ascii="Times New Roman" w:hAnsi="Times New Roman" w:eastAsia="仿宋_GB2312" w:cs="Times New Roman"/>
          <w:b w:val="0"/>
          <w:i w:val="0"/>
          <w:color w:val="000000"/>
          <w:sz w:val="32"/>
          <w:szCs w:val="32"/>
          <w:u w:val="none" w:color="auto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textAlignment w:val="auto"/>
        <w:rPr>
          <w:rFonts w:hint="default"/>
          <w:lang w:eastAsia="zh-CN"/>
        </w:rPr>
      </w:pPr>
    </w:p>
    <w:p>
      <w:pPr>
        <w:pStyle w:val="2"/>
        <w:ind w:left="0" w:leftChars="0" w:firstLine="0" w:firstLineChars="0"/>
        <w:rPr>
          <w:rFonts w:hint="default"/>
          <w:lang w:eastAsia="zh-CN"/>
        </w:rPr>
      </w:pPr>
    </w:p>
    <w:p>
      <w:pPr>
        <w:pStyle w:val="2"/>
        <w:ind w:left="0" w:leftChars="0" w:firstLine="0" w:firstLineChars="0"/>
        <w:rPr>
          <w:rFonts w:hint="default"/>
          <w:lang w:eastAsia="zh-CN"/>
        </w:rPr>
      </w:pPr>
    </w:p>
    <w:p>
      <w:pPr>
        <w:pStyle w:val="2"/>
        <w:ind w:left="0" w:leftChars="0" w:firstLine="0" w:firstLineChars="0"/>
        <w:rPr>
          <w:rFonts w:hint="default"/>
          <w:lang w:eastAsia="zh-CN"/>
        </w:rPr>
      </w:pPr>
    </w:p>
    <w:p>
      <w:pPr>
        <w:pStyle w:val="2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bidi w:val="0"/>
        <w:snapToGrid/>
        <w:spacing w:line="560" w:lineRule="exact"/>
        <w:textAlignment w:val="auto"/>
        <w:rPr>
          <w:rFonts w:hint="default" w:ascii="仿宋_GB2312" w:hAnsi="仿宋_GB2312" w:eastAsia="仿宋_GB2312" w:cs="仿宋_GB2312"/>
          <w:color w:val="auto"/>
          <w:kern w:val="2"/>
          <w:sz w:val="32"/>
          <w:szCs w:val="32"/>
          <w:highlight w:val="none"/>
          <w:lang w:val="en-US" w:eastAsia="zh-CN" w:bidi="ar"/>
        </w:rPr>
      </w:pPr>
    </w:p>
    <w:p>
      <w:pPr>
        <w:pStyle w:val="2"/>
        <w:ind w:left="0" w:leftChars="0" w:firstLine="0" w:firstLineChars="0"/>
        <w:rPr>
          <w:rFonts w:hint="default"/>
          <w:highlight w:val="none"/>
          <w:lang w:val="en-US" w:eastAsia="zh-CN"/>
        </w:rPr>
      </w:pPr>
    </w:p>
    <w:sectPr>
      <w:footerReference r:id="rId3" w:type="default"/>
      <w:pgSz w:w="11906" w:h="16838"/>
      <w:pgMar w:top="1984" w:right="1531" w:bottom="187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</w:rPr>
                            <w:t xml:space="preserve">- 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</w:rPr>
                            <w:t>15</w:t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kern w:val="0"/>
                              <w:sz w:val="28"/>
                              <w:szCs w:val="28"/>
                            </w:rPr>
                            <w:t xml:space="preserve"> -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</w:rPr>
                      <w:t xml:space="preserve">- </w:t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</w:rPr>
                      <w:t>15</w:t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kern w:val="0"/>
                        <w:sz w:val="28"/>
                        <w:szCs w:val="28"/>
                      </w:rPr>
                      <w:t xml:space="preserve"> -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1ZDY3ZmM4MjBhMWEzY2M2MDM2ZTAyYzlmOTJmOGIifQ=="/>
  </w:docVars>
  <w:rsids>
    <w:rsidRoot w:val="35E01AB7"/>
    <w:rsid w:val="000D15D5"/>
    <w:rsid w:val="000F5215"/>
    <w:rsid w:val="002B247F"/>
    <w:rsid w:val="00C06290"/>
    <w:rsid w:val="00F56B94"/>
    <w:rsid w:val="01D75D2B"/>
    <w:rsid w:val="02D73FB2"/>
    <w:rsid w:val="04BD166C"/>
    <w:rsid w:val="057948D9"/>
    <w:rsid w:val="061A521D"/>
    <w:rsid w:val="06D45E42"/>
    <w:rsid w:val="08C971CE"/>
    <w:rsid w:val="09052892"/>
    <w:rsid w:val="0C372EA4"/>
    <w:rsid w:val="0C5A59CA"/>
    <w:rsid w:val="0C631D5D"/>
    <w:rsid w:val="0E1153E3"/>
    <w:rsid w:val="0E985899"/>
    <w:rsid w:val="0E9C4714"/>
    <w:rsid w:val="0F2665FE"/>
    <w:rsid w:val="0F2D2F22"/>
    <w:rsid w:val="0FCD579F"/>
    <w:rsid w:val="109C6E28"/>
    <w:rsid w:val="11991F26"/>
    <w:rsid w:val="12B936FE"/>
    <w:rsid w:val="13622FA0"/>
    <w:rsid w:val="16D769A2"/>
    <w:rsid w:val="17137290"/>
    <w:rsid w:val="18445096"/>
    <w:rsid w:val="191322CE"/>
    <w:rsid w:val="196A461A"/>
    <w:rsid w:val="1B294C9D"/>
    <w:rsid w:val="1CBB6945"/>
    <w:rsid w:val="1CDA4F65"/>
    <w:rsid w:val="1CE02B14"/>
    <w:rsid w:val="1DEC15DB"/>
    <w:rsid w:val="1E244B9F"/>
    <w:rsid w:val="1E423F4A"/>
    <w:rsid w:val="1FE7220D"/>
    <w:rsid w:val="200C31B3"/>
    <w:rsid w:val="22760CDB"/>
    <w:rsid w:val="22A266DE"/>
    <w:rsid w:val="23002835"/>
    <w:rsid w:val="23D7244A"/>
    <w:rsid w:val="24B96CAB"/>
    <w:rsid w:val="26010127"/>
    <w:rsid w:val="26331408"/>
    <w:rsid w:val="285D455B"/>
    <w:rsid w:val="28E45951"/>
    <w:rsid w:val="2A193020"/>
    <w:rsid w:val="2A24682F"/>
    <w:rsid w:val="2A260799"/>
    <w:rsid w:val="2B3E1BC2"/>
    <w:rsid w:val="2BAA7CD5"/>
    <w:rsid w:val="2C2101F8"/>
    <w:rsid w:val="2D655C50"/>
    <w:rsid w:val="2E1757E4"/>
    <w:rsid w:val="2E2B6940"/>
    <w:rsid w:val="2E96461B"/>
    <w:rsid w:val="303C35C6"/>
    <w:rsid w:val="311A48AE"/>
    <w:rsid w:val="31835A35"/>
    <w:rsid w:val="32A12F37"/>
    <w:rsid w:val="35154A54"/>
    <w:rsid w:val="355E084E"/>
    <w:rsid w:val="35E01AB7"/>
    <w:rsid w:val="360C361C"/>
    <w:rsid w:val="38AB0A75"/>
    <w:rsid w:val="38BD1395"/>
    <w:rsid w:val="3C0E0924"/>
    <w:rsid w:val="3C3A52DE"/>
    <w:rsid w:val="3C8036A6"/>
    <w:rsid w:val="3CFF669B"/>
    <w:rsid w:val="3D623228"/>
    <w:rsid w:val="3DDC032E"/>
    <w:rsid w:val="3EAA7888"/>
    <w:rsid w:val="40CB1B04"/>
    <w:rsid w:val="40E93998"/>
    <w:rsid w:val="417E74E2"/>
    <w:rsid w:val="418B6626"/>
    <w:rsid w:val="41EC727E"/>
    <w:rsid w:val="4206398B"/>
    <w:rsid w:val="42332E3A"/>
    <w:rsid w:val="428E743E"/>
    <w:rsid w:val="42BD3AF6"/>
    <w:rsid w:val="439879C8"/>
    <w:rsid w:val="44856C15"/>
    <w:rsid w:val="44AE67A8"/>
    <w:rsid w:val="466F6DB2"/>
    <w:rsid w:val="46974621"/>
    <w:rsid w:val="49711E78"/>
    <w:rsid w:val="49C74D7B"/>
    <w:rsid w:val="4B322981"/>
    <w:rsid w:val="4C105359"/>
    <w:rsid w:val="4C570B38"/>
    <w:rsid w:val="4D1039E5"/>
    <w:rsid w:val="4D134A69"/>
    <w:rsid w:val="4DC1232E"/>
    <w:rsid w:val="4F193FB6"/>
    <w:rsid w:val="502A0336"/>
    <w:rsid w:val="52901EF5"/>
    <w:rsid w:val="54667936"/>
    <w:rsid w:val="54991582"/>
    <w:rsid w:val="559E7DC9"/>
    <w:rsid w:val="5661367A"/>
    <w:rsid w:val="59B60C35"/>
    <w:rsid w:val="5AF54CD9"/>
    <w:rsid w:val="5DC31A3D"/>
    <w:rsid w:val="5EFE1CDD"/>
    <w:rsid w:val="5F04565B"/>
    <w:rsid w:val="603F5678"/>
    <w:rsid w:val="60886AED"/>
    <w:rsid w:val="61BD40A7"/>
    <w:rsid w:val="63B52191"/>
    <w:rsid w:val="645038A3"/>
    <w:rsid w:val="66404FFE"/>
    <w:rsid w:val="66AB2DDC"/>
    <w:rsid w:val="66C351C5"/>
    <w:rsid w:val="67A53F81"/>
    <w:rsid w:val="681C438B"/>
    <w:rsid w:val="68465D75"/>
    <w:rsid w:val="6C0E2FA4"/>
    <w:rsid w:val="6C885F6F"/>
    <w:rsid w:val="6FDF7834"/>
    <w:rsid w:val="71F272CE"/>
    <w:rsid w:val="72AD2C72"/>
    <w:rsid w:val="72EC2B0B"/>
    <w:rsid w:val="757537C1"/>
    <w:rsid w:val="770C6338"/>
    <w:rsid w:val="799458AC"/>
    <w:rsid w:val="7C2843B4"/>
    <w:rsid w:val="7DBD5C5A"/>
    <w:rsid w:val="7F07022D"/>
    <w:rsid w:val="FB30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567"/>
    </w:pPr>
    <w:rPr>
      <w:rFonts w:ascii="Calibri" w:hAnsi="Calibri"/>
      <w:szCs w:val="21"/>
    </w:rPr>
  </w:style>
  <w:style w:type="paragraph" w:styleId="3">
    <w:name w:val="Body Text"/>
    <w:basedOn w:val="1"/>
    <w:link w:val="15"/>
    <w:semiHidden/>
    <w:unhideWhenUsed/>
    <w:qFormat/>
    <w:uiPriority w:val="99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widowControl/>
      <w:spacing w:beforeAutospacing="1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Body Text First Indent"/>
    <w:basedOn w:val="3"/>
    <w:link w:val="14"/>
    <w:qFormat/>
    <w:uiPriority w:val="0"/>
    <w:pPr>
      <w:spacing w:after="0" w:line="500" w:lineRule="exact"/>
      <w:ind w:firstLine="420"/>
    </w:pPr>
    <w:rPr>
      <w:sz w:val="28"/>
      <w:szCs w:val="20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Emphasis"/>
    <w:basedOn w:val="9"/>
    <w:qFormat/>
    <w:uiPriority w:val="0"/>
    <w:rPr>
      <w:i/>
    </w:rPr>
  </w:style>
  <w:style w:type="paragraph" w:customStyle="1" w:styleId="12">
    <w:name w:val="BodyText1I"/>
    <w:basedOn w:val="13"/>
    <w:qFormat/>
    <w:uiPriority w:val="0"/>
    <w:pPr>
      <w:spacing w:after="120"/>
      <w:ind w:firstLine="420" w:firstLineChars="100"/>
      <w:jc w:val="both"/>
      <w:textAlignment w:val="baseline"/>
    </w:pPr>
  </w:style>
  <w:style w:type="paragraph" w:customStyle="1" w:styleId="13">
    <w:name w:val="BodyText"/>
    <w:basedOn w:val="1"/>
    <w:next w:val="12"/>
    <w:qFormat/>
    <w:uiPriority w:val="0"/>
    <w:pPr>
      <w:spacing w:after="120"/>
      <w:jc w:val="both"/>
      <w:textAlignment w:val="baseline"/>
    </w:pPr>
    <w:rPr>
      <w:rFonts w:ascii="Times New Roman" w:hAnsi="Times New Roman" w:eastAsia="宋体"/>
      <w:kern w:val="2"/>
      <w:sz w:val="21"/>
      <w:szCs w:val="22"/>
      <w:lang w:val="en-US" w:eastAsia="zh-CN" w:bidi="ar-SA"/>
    </w:rPr>
  </w:style>
  <w:style w:type="character" w:customStyle="1" w:styleId="14">
    <w:name w:val="正文首行缩进 字符"/>
    <w:basedOn w:val="15"/>
    <w:link w:val="7"/>
    <w:qFormat/>
    <w:uiPriority w:val="0"/>
    <w:rPr>
      <w:sz w:val="28"/>
      <w:szCs w:val="20"/>
    </w:rPr>
  </w:style>
  <w:style w:type="character" w:customStyle="1" w:styleId="15">
    <w:name w:val="正文文本 字符"/>
    <w:basedOn w:val="9"/>
    <w:link w:val="3"/>
    <w:qFormat/>
    <w:uiPriority w:val="0"/>
  </w:style>
  <w:style w:type="paragraph" w:customStyle="1" w:styleId="16">
    <w:name w:val="正文文本缩进1"/>
    <w:next w:val="17"/>
    <w:qFormat/>
    <w:uiPriority w:val="0"/>
    <w:pPr>
      <w:widowControl w:val="0"/>
      <w:spacing w:line="620" w:lineRule="exact"/>
      <w:ind w:firstLine="640" w:firstLineChars="200"/>
      <w:jc w:val="both"/>
    </w:pPr>
    <w:rPr>
      <w:rFonts w:ascii="Calibri" w:hAnsi="Calibri" w:eastAsia="仿宋_GB2312" w:cs="宋体"/>
      <w:kern w:val="2"/>
      <w:sz w:val="32"/>
      <w:szCs w:val="32"/>
      <w:lang w:val="en-US" w:eastAsia="zh-CN" w:bidi="ar-SA"/>
    </w:rPr>
  </w:style>
  <w:style w:type="paragraph" w:customStyle="1" w:styleId="17">
    <w:name w:val="正文缩进1"/>
    <w:qFormat/>
    <w:uiPriority w:val="0"/>
    <w:pPr>
      <w:widowControl w:val="0"/>
      <w:ind w:firstLine="420"/>
      <w:jc w:val="both"/>
    </w:pPr>
    <w:rPr>
      <w:rFonts w:hint="eastAsia" w:ascii="Calibri" w:hAnsi="Calibri" w:eastAsia="Times New Roman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26</Pages>
  <Words>13619</Words>
  <Characters>15333</Characters>
  <Lines>0</Lines>
  <Paragraphs>0</Paragraphs>
  <TotalTime>16</TotalTime>
  <ScaleCrop>false</ScaleCrop>
  <LinksUpToDate>false</LinksUpToDate>
  <CharactersWithSpaces>15369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2022-11-22T10:04:00Z</dcterms:created>
  <dc:creator>lenovo</dc:creator>
  <cp:lastModifiedBy>lenovo</cp:lastModifiedBy>
  <cp:lastPrinted>2023-01-29T11:11:00Z</cp:lastPrinted>
  <dcterms:modified xsi:type="dcterms:W3CDTF">2023-01-31T09:17:51Z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158DC9A883FA4AA9A8596462AADC81E5</vt:lpwstr>
  </property>
</Properties>
</file>