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color w:val="auto"/>
          <w:sz w:val="44"/>
          <w:szCs w:val="44"/>
          <w:lang w:val="en-US" w:eastAsia="zh-CN"/>
        </w:rPr>
      </w:pPr>
      <w:r>
        <w:rPr>
          <w:rFonts w:hint="eastAsia"/>
          <w:color w:val="auto"/>
          <w:sz w:val="44"/>
          <w:szCs w:val="44"/>
          <w:lang w:val="en-US" w:eastAsia="zh-CN"/>
        </w:rPr>
        <w:t>永嘉县财政局关于落实</w:t>
      </w:r>
      <w:r>
        <w:rPr>
          <w:rFonts w:hint="eastAsia"/>
          <w:color w:val="auto"/>
          <w:sz w:val="44"/>
          <w:szCs w:val="44"/>
          <w:lang w:val="en" w:eastAsia="zh-CN"/>
        </w:rPr>
        <w:t>疫情减租</w:t>
      </w:r>
      <w:r>
        <w:rPr>
          <w:rFonts w:hint="eastAsia"/>
          <w:color w:val="auto"/>
          <w:sz w:val="44"/>
          <w:szCs w:val="44"/>
          <w:lang w:val="en-US" w:eastAsia="zh-CN"/>
        </w:rPr>
        <w:t>扶持政策的工作指引</w:t>
      </w:r>
    </w:p>
    <w:p>
      <w:pPr>
        <w:pStyle w:val="2"/>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各行政事业单位，各县属国有企业：</w:t>
      </w:r>
    </w:p>
    <w:p>
      <w:pPr>
        <w:pStyle w:val="3"/>
        <w:ind w:firstLine="640" w:firstLineChars="200"/>
        <w:jc w:val="both"/>
        <w:rPr>
          <w:rFonts w:hint="eastAsia" w:eastAsia="仿宋_GB2312"/>
          <w:color w:val="auto"/>
          <w:lang w:val="en-US" w:eastAsia="zh-CN"/>
        </w:rPr>
      </w:pPr>
      <w:r>
        <w:rPr>
          <w:rFonts w:hint="eastAsia" w:ascii="仿宋_GB2312" w:hAnsi="仿宋_GB2312" w:eastAsia="仿宋_GB2312" w:cs="仿宋_GB2312"/>
          <w:color w:val="auto"/>
          <w:kern w:val="2"/>
          <w:sz w:val="32"/>
          <w:szCs w:val="32"/>
          <w:lang w:val="en-US" w:eastAsia="zh-CN" w:bidi="ar-SA"/>
        </w:rPr>
        <w:t>为深入贯彻落实</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永嘉县</w:t>
      </w:r>
      <w:r>
        <w:rPr>
          <w:rFonts w:hint="eastAsia" w:ascii="仿宋_GB2312" w:hAnsi="仿宋_GB2312" w:eastAsia="仿宋_GB2312" w:cs="仿宋_GB2312"/>
          <w:color w:val="auto"/>
          <w:sz w:val="32"/>
          <w:szCs w:val="32"/>
        </w:rPr>
        <w:t>人民政府印发</w:t>
      </w:r>
      <w:r>
        <w:rPr>
          <w:rFonts w:hint="eastAsia" w:ascii="仿宋_GB2312" w:hAnsi="仿宋_GB2312" w:eastAsia="仿宋_GB2312" w:cs="仿宋_GB2312"/>
          <w:color w:val="auto"/>
          <w:sz w:val="32"/>
          <w:szCs w:val="32"/>
          <w:lang w:eastAsia="zh-CN"/>
        </w:rPr>
        <w:t>关于</w:t>
      </w:r>
      <w:r>
        <w:rPr>
          <w:rFonts w:hint="eastAsia" w:ascii="仿宋_GB2312" w:hAnsi="仿宋_GB2312" w:eastAsia="仿宋_GB2312" w:cs="仿宋_GB2312"/>
          <w:color w:val="auto"/>
          <w:sz w:val="32"/>
          <w:szCs w:val="32"/>
        </w:rPr>
        <w:t>应对新冠肺炎疫情帮助市场主体纾困解难3</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条措施的通知》（</w:t>
      </w:r>
      <w:r>
        <w:rPr>
          <w:rFonts w:hint="eastAsia" w:ascii="仿宋_GB2312" w:hAnsi="仿宋_GB2312" w:eastAsia="仿宋_GB2312" w:cs="仿宋_GB2312"/>
          <w:color w:val="auto"/>
          <w:sz w:val="32"/>
          <w:szCs w:val="32"/>
          <w:lang w:eastAsia="zh-CN"/>
        </w:rPr>
        <w:t>永</w:t>
      </w:r>
      <w:r>
        <w:rPr>
          <w:rFonts w:hint="eastAsia" w:ascii="仿宋_GB2312" w:hAnsi="仿宋_GB2312" w:eastAsia="仿宋_GB2312" w:cs="仿宋_GB2312"/>
          <w:color w:val="auto"/>
          <w:sz w:val="32"/>
          <w:szCs w:val="32"/>
        </w:rPr>
        <w:t>政发〔2022〕</w:t>
      </w:r>
      <w:r>
        <w:rPr>
          <w:rFonts w:hint="eastAsia" w:ascii="仿宋_GB2312" w:hAnsi="仿宋_GB2312" w:eastAsia="仿宋_GB2312" w:cs="仿宋_GB2312"/>
          <w:color w:val="auto"/>
          <w:sz w:val="32"/>
          <w:szCs w:val="32"/>
          <w:lang w:val="en-US" w:eastAsia="zh-CN"/>
        </w:rPr>
        <w:t>26</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浙江省人民政府办公厅关于扶持个体工商户纾困发展的若干意见</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浙</w:t>
      </w:r>
      <w:r>
        <w:rPr>
          <w:rFonts w:hint="eastAsia" w:ascii="仿宋_GB2312" w:hAnsi="仿宋_GB2312" w:eastAsia="仿宋_GB2312" w:cs="仿宋_GB2312"/>
          <w:color w:val="auto"/>
          <w:sz w:val="32"/>
          <w:szCs w:val="32"/>
        </w:rPr>
        <w:t>政</w:t>
      </w:r>
      <w:r>
        <w:rPr>
          <w:rFonts w:hint="eastAsia" w:ascii="仿宋_GB2312" w:hAnsi="仿宋_GB2312" w:eastAsia="仿宋_GB2312" w:cs="仿宋_GB2312"/>
          <w:color w:val="auto"/>
          <w:sz w:val="32"/>
          <w:szCs w:val="32"/>
          <w:lang w:eastAsia="zh-CN"/>
        </w:rPr>
        <w:t>办</w:t>
      </w:r>
      <w:r>
        <w:rPr>
          <w:rFonts w:hint="eastAsia" w:ascii="仿宋_GB2312" w:hAnsi="仿宋_GB2312" w:eastAsia="仿宋_GB2312" w:cs="仿宋_GB2312"/>
          <w:color w:val="auto"/>
          <w:sz w:val="32"/>
          <w:szCs w:val="32"/>
        </w:rPr>
        <w:t>发〔2022〕</w:t>
      </w:r>
      <w:r>
        <w:rPr>
          <w:rFonts w:hint="eastAsia" w:ascii="仿宋_GB2312" w:hAnsi="仿宋_GB2312" w:eastAsia="仿宋_GB2312" w:cs="仿宋_GB2312"/>
          <w:color w:val="auto"/>
          <w:sz w:val="32"/>
          <w:szCs w:val="32"/>
          <w:lang w:val="en-US" w:eastAsia="zh-CN"/>
        </w:rPr>
        <w:t>24</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浙江省人民政府办公厅关于进一步减负纾困助力中小微企业发展的若干意见</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浙</w:t>
      </w:r>
      <w:r>
        <w:rPr>
          <w:rFonts w:hint="eastAsia" w:ascii="仿宋_GB2312" w:hAnsi="仿宋_GB2312" w:eastAsia="仿宋_GB2312" w:cs="仿宋_GB2312"/>
          <w:color w:val="auto"/>
          <w:sz w:val="32"/>
          <w:szCs w:val="32"/>
        </w:rPr>
        <w:t>政</w:t>
      </w:r>
      <w:r>
        <w:rPr>
          <w:rFonts w:hint="eastAsia" w:ascii="仿宋_GB2312" w:hAnsi="仿宋_GB2312" w:eastAsia="仿宋_GB2312" w:cs="仿宋_GB2312"/>
          <w:color w:val="auto"/>
          <w:sz w:val="32"/>
          <w:szCs w:val="32"/>
          <w:lang w:eastAsia="zh-CN"/>
        </w:rPr>
        <w:t>办</w:t>
      </w:r>
      <w:r>
        <w:rPr>
          <w:rFonts w:hint="eastAsia" w:ascii="仿宋_GB2312" w:hAnsi="仿宋_GB2312" w:eastAsia="仿宋_GB2312" w:cs="仿宋_GB2312"/>
          <w:color w:val="auto"/>
          <w:sz w:val="32"/>
          <w:szCs w:val="32"/>
        </w:rPr>
        <w:t>发〔2022〕</w:t>
      </w:r>
      <w:r>
        <w:rPr>
          <w:rFonts w:hint="eastAsia" w:ascii="仿宋_GB2312" w:hAnsi="仿宋_GB2312" w:eastAsia="仿宋_GB2312" w:cs="仿宋_GB2312"/>
          <w:color w:val="auto"/>
          <w:sz w:val="32"/>
          <w:szCs w:val="32"/>
          <w:lang w:val="en-US" w:eastAsia="zh-CN"/>
        </w:rPr>
        <w:t>25</w:t>
      </w:r>
      <w:r>
        <w:rPr>
          <w:rFonts w:hint="eastAsia" w:ascii="仿宋_GB2312" w:hAnsi="仿宋_GB2312" w:eastAsia="仿宋_GB2312" w:cs="仿宋_GB2312"/>
          <w:color w:val="auto"/>
          <w:sz w:val="32"/>
          <w:szCs w:val="32"/>
        </w:rPr>
        <w:t>号）精神和要求</w:t>
      </w:r>
      <w:r>
        <w:rPr>
          <w:rFonts w:hint="eastAsia" w:ascii="仿宋_GB2312" w:hAnsi="仿宋_GB2312" w:eastAsia="仿宋_GB2312" w:cs="仿宋_GB2312"/>
          <w:color w:val="auto"/>
          <w:sz w:val="32"/>
          <w:szCs w:val="32"/>
          <w:lang w:eastAsia="zh-CN"/>
        </w:rPr>
        <w:t>，做好</w:t>
      </w:r>
      <w:r>
        <w:rPr>
          <w:rFonts w:hint="eastAsia" w:ascii="仿宋_GB2312" w:hAnsi="仿宋_GB2312" w:eastAsia="仿宋_GB2312" w:cs="仿宋_GB2312"/>
          <w:color w:val="auto"/>
          <w:sz w:val="32"/>
          <w:szCs w:val="32"/>
        </w:rPr>
        <w:t>国有房屋租金减免工作，现将有关事项通知如下：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一、适用范围</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_GB2312" w:eastAsia="仿宋_GB2312"/>
          <w:snapToGrid w:val="0"/>
          <w:color w:val="auto"/>
          <w:kern w:val="0"/>
          <w:sz w:val="32"/>
          <w:szCs w:val="32"/>
          <w:lang w:eastAsia="zh-CN" w:bidi="ar"/>
        </w:rPr>
      </w:pPr>
      <w:r>
        <w:rPr>
          <w:rFonts w:hint="eastAsia" w:ascii="仿宋_GB2312" w:eastAsia="仿宋_GB2312"/>
          <w:snapToGrid w:val="0"/>
          <w:color w:val="auto"/>
          <w:kern w:val="0"/>
          <w:sz w:val="32"/>
          <w:szCs w:val="32"/>
          <w:lang w:eastAsia="zh-CN" w:bidi="ar"/>
        </w:rPr>
        <w:t>（一）减免</w:t>
      </w:r>
      <w:r>
        <w:rPr>
          <w:rFonts w:hint="eastAsia" w:ascii="仿宋_GB2312" w:eastAsia="仿宋_GB2312"/>
          <w:snapToGrid w:val="0"/>
          <w:color w:val="auto"/>
          <w:kern w:val="0"/>
          <w:sz w:val="32"/>
          <w:szCs w:val="32"/>
          <w:lang w:bidi="ar"/>
        </w:rPr>
        <w:t>对象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2022年3月31日前（含），已承租县属国有企业及其所属企业（包括全资、控股和实际控制企业)和行政事业单位及其下属企业（含国有全资、控股和实际控制企业，不含集体企业）国有房屋的非国有工业企业，小微企业和个体工商户，依申请并经审核后享受第二季度（即4-6月份）租金减免</w:t>
      </w:r>
      <w:r>
        <w:rPr>
          <w:rFonts w:hint="eastAsia" w:ascii="仿宋_GB2312" w:hAnsi="仿宋_GB2312" w:eastAsia="仿宋_GB2312" w:cs="仿宋_GB2312"/>
          <w:color w:val="auto"/>
          <w:sz w:val="32"/>
          <w:szCs w:val="32"/>
          <w:lang w:eastAsia="zh-CN"/>
        </w:rPr>
        <w:t>（以下简称“普遍减免”，</w:t>
      </w:r>
      <w:r>
        <w:rPr>
          <w:rFonts w:hint="eastAsia" w:ascii="仿宋_GB2312" w:hAnsi="仿宋_GB2312" w:eastAsia="仿宋_GB2312" w:cs="仿宋_GB2312"/>
          <w:color w:val="auto"/>
          <w:sz w:val="32"/>
          <w:szCs w:val="32"/>
          <w:lang w:val="en-US" w:eastAsia="zh-CN"/>
        </w:rPr>
        <w:t>剩余租期不足三个月的按实际租期</w:t>
      </w:r>
      <w:r>
        <w:rPr>
          <w:rFonts w:hint="eastAsia" w:ascii="仿宋_GB2312" w:hAnsi="仿宋_GB2312" w:eastAsia="仿宋_GB2312" w:cs="仿宋_GB2312"/>
          <w:color w:val="auto"/>
          <w:sz w:val="32"/>
          <w:szCs w:val="32"/>
          <w:lang w:eastAsia="zh-CN"/>
        </w:rPr>
        <w:t>享受减免）</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如2022年市场主体所在的县级行政区域疫情风险等级确定为中高风险时，承租</w:t>
      </w:r>
      <w:r>
        <w:rPr>
          <w:rFonts w:hint="eastAsia" w:ascii="仿宋_GB2312" w:hAnsi="仿宋_GB2312" w:eastAsia="仿宋_GB2312" w:cs="仿宋_GB2312"/>
          <w:color w:val="auto"/>
          <w:sz w:val="32"/>
          <w:szCs w:val="32"/>
          <w:lang w:eastAsia="zh-CN"/>
        </w:rPr>
        <w:t>上述房产的</w:t>
      </w:r>
      <w:r>
        <w:rPr>
          <w:rFonts w:hint="eastAsia" w:ascii="仿宋_GB2312" w:hAnsi="仿宋_GB2312" w:eastAsia="仿宋_GB2312" w:cs="仿宋_GB2312"/>
          <w:color w:val="auto"/>
          <w:sz w:val="32"/>
          <w:szCs w:val="32"/>
          <w:lang w:val="en-US" w:eastAsia="zh-CN"/>
        </w:rPr>
        <w:t>非国有工业企业；小微企业和个体工商户，自确定为中高风险之日的当月起享受</w:t>
      </w:r>
      <w:r>
        <w:rPr>
          <w:rFonts w:hint="eastAsia" w:ascii="仿宋_GB2312" w:hAnsi="仿宋_GB2312" w:eastAsia="仿宋_GB2312" w:cs="仿宋_GB2312"/>
          <w:color w:val="auto"/>
          <w:sz w:val="32"/>
          <w:szCs w:val="32"/>
          <w:lang w:eastAsia="zh-CN"/>
        </w:rPr>
        <w:t>三个月租金减免（以下简称“补充减免”，</w:t>
      </w:r>
      <w:r>
        <w:rPr>
          <w:rFonts w:hint="eastAsia" w:ascii="仿宋_GB2312" w:hAnsi="仿宋_GB2312" w:eastAsia="仿宋_GB2312" w:cs="仿宋_GB2312"/>
          <w:color w:val="auto"/>
          <w:sz w:val="32"/>
          <w:szCs w:val="32"/>
          <w:lang w:val="en-US" w:eastAsia="zh-CN"/>
        </w:rPr>
        <w:t>剩余租期不足三个月的按实际租期</w:t>
      </w:r>
      <w:r>
        <w:rPr>
          <w:rFonts w:hint="eastAsia" w:ascii="仿宋_GB2312" w:hAnsi="仿宋_GB2312" w:eastAsia="仿宋_GB2312" w:cs="仿宋_GB2312"/>
          <w:color w:val="auto"/>
          <w:sz w:val="32"/>
          <w:szCs w:val="32"/>
          <w:lang w:eastAsia="zh-CN"/>
        </w:rPr>
        <w:t>享受减免）</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_GB2312" w:eastAsia="仿宋_GB2312"/>
          <w:snapToGrid w:val="0"/>
          <w:color w:val="auto"/>
          <w:kern w:val="0"/>
          <w:sz w:val="32"/>
          <w:szCs w:val="32"/>
          <w:lang w:val="en-US" w:eastAsia="zh-CN" w:bidi="ar"/>
        </w:rPr>
      </w:pPr>
      <w:r>
        <w:rPr>
          <w:rFonts w:hint="eastAsia" w:ascii="仿宋_GB2312" w:eastAsia="仿宋_GB2312"/>
          <w:snapToGrid w:val="0"/>
          <w:color w:val="auto"/>
          <w:kern w:val="0"/>
          <w:sz w:val="32"/>
          <w:szCs w:val="32"/>
          <w:lang w:val="en-US" w:eastAsia="zh-CN" w:bidi="ar"/>
        </w:rPr>
        <w:t>（二）非</w:t>
      </w:r>
      <w:r>
        <w:rPr>
          <w:rFonts w:hint="eastAsia" w:ascii="仿宋_GB2312" w:eastAsia="仿宋_GB2312"/>
          <w:snapToGrid w:val="0"/>
          <w:color w:val="auto"/>
          <w:kern w:val="0"/>
          <w:sz w:val="32"/>
          <w:szCs w:val="32"/>
          <w:lang w:eastAsia="zh-CN" w:bidi="ar"/>
        </w:rPr>
        <w:t>减免</w:t>
      </w:r>
      <w:r>
        <w:rPr>
          <w:rFonts w:hint="eastAsia" w:ascii="仿宋_GB2312" w:eastAsia="仿宋_GB2312"/>
          <w:snapToGrid w:val="0"/>
          <w:color w:val="auto"/>
          <w:kern w:val="0"/>
          <w:sz w:val="32"/>
          <w:szCs w:val="32"/>
          <w:lang w:val="en-US" w:eastAsia="zh-CN" w:bidi="ar"/>
        </w:rPr>
        <w:t>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napToGrid w:val="0"/>
          <w:color w:val="auto"/>
          <w:kern w:val="0"/>
          <w:sz w:val="32"/>
          <w:szCs w:val="32"/>
          <w:lang w:bidi="ar"/>
        </w:rPr>
        <w:t>房地产企业</w:t>
      </w:r>
      <w:r>
        <w:rPr>
          <w:rFonts w:hint="eastAsia" w:ascii="仿宋_GB2312" w:hAnsi="仿宋_GB2312" w:eastAsia="仿宋_GB2312" w:cs="仿宋_GB2312"/>
          <w:snapToGrid w:val="0"/>
          <w:color w:val="auto"/>
          <w:kern w:val="0"/>
          <w:sz w:val="32"/>
          <w:szCs w:val="32"/>
          <w:lang w:eastAsia="zh-CN" w:bidi="ar"/>
        </w:rPr>
        <w:t>，</w:t>
      </w:r>
      <w:r>
        <w:rPr>
          <w:rFonts w:hint="eastAsia" w:ascii="仿宋_GB2312" w:hAnsi="仿宋_GB2312" w:eastAsia="仿宋_GB2312" w:cs="仿宋_GB2312"/>
          <w:sz w:val="32"/>
          <w:szCs w:val="32"/>
          <w:lang w:val="en-US" w:eastAsia="zh-CN"/>
        </w:rPr>
        <w:t>行政事业单位和国有全资、国有控股、国有实际控制企业，集体企业，社会团体、民办非企业单位等非市场主体，</w:t>
      </w:r>
      <w:r>
        <w:rPr>
          <w:rFonts w:hint="eastAsia" w:ascii="仿宋_GB2312" w:hAnsi="仿宋_GB2312" w:eastAsia="仿宋_GB2312" w:cs="仿宋_GB2312"/>
          <w:color w:val="auto"/>
          <w:sz w:val="32"/>
          <w:szCs w:val="32"/>
          <w:lang w:val="en-US" w:eastAsia="zh-CN"/>
        </w:rPr>
        <w:t>不属于本次</w:t>
      </w:r>
      <w:r>
        <w:rPr>
          <w:rFonts w:hint="eastAsia" w:ascii="仿宋_GB2312" w:hAnsi="仿宋_GB2312" w:eastAsia="仿宋_GB2312" w:cs="仿宋_GB2312"/>
          <w:sz w:val="32"/>
          <w:szCs w:val="32"/>
          <w:lang w:val="en-US" w:eastAsia="zh-CN"/>
        </w:rPr>
        <w:t>租金减免扶持政策的适用对象。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存在转租行为的房屋，转租方不享受本次房租减免政策，由最终承租经营的非国有</w:t>
      </w:r>
      <w:r>
        <w:rPr>
          <w:rFonts w:hint="eastAsia" w:ascii="仿宋_GB2312" w:hAnsi="仿宋_GB2312" w:eastAsia="仿宋_GB2312" w:cs="仿宋_GB2312"/>
          <w:color w:val="auto"/>
          <w:sz w:val="32"/>
          <w:szCs w:val="32"/>
          <w:lang w:val="en-US" w:eastAsia="zh-CN"/>
        </w:rPr>
        <w:t>工业企业；</w:t>
      </w:r>
      <w:r>
        <w:rPr>
          <w:rFonts w:hint="eastAsia" w:ascii="仿宋_GB2312" w:hAnsi="仿宋_GB2312" w:eastAsia="仿宋_GB2312" w:cs="仿宋_GB2312"/>
          <w:sz w:val="32"/>
          <w:szCs w:val="32"/>
          <w:lang w:val="en-US" w:eastAsia="zh-CN"/>
        </w:rPr>
        <w:t>小微企业和个体工商户享受本次房租减免政策。</w:t>
      </w:r>
      <w:r>
        <w:rPr>
          <w:rFonts w:hint="eastAsia" w:ascii="仿宋_GB2312" w:hAnsi="仿宋_GB2312" w:eastAsia="仿宋_GB2312" w:cs="仿宋_GB2312"/>
          <w:sz w:val="32"/>
          <w:szCs w:val="32"/>
          <w:lang w:eastAsia="zh-CN"/>
        </w:rPr>
        <w:t>存在租赁纠纷（欠租、欠费）、违约转租的，不得减免。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二、明确有关事项</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630" w:leftChars="0"/>
        <w:textAlignment w:val="auto"/>
        <w:rPr>
          <w:rFonts w:hint="eastAsia" w:ascii="楷体_GB2312" w:hAnsi="楷体_GB2312" w:eastAsia="楷体_GB2312" w:cs="楷体_GB2312"/>
          <w:b/>
          <w:bCs/>
          <w:sz w:val="32"/>
          <w:szCs w:val="32"/>
          <w:lang w:val="en-US" w:eastAsia="zh-CN"/>
        </w:rPr>
      </w:pPr>
      <w:r>
        <w:rPr>
          <w:rFonts w:hint="eastAsia" w:ascii="仿宋_GB2312" w:hAnsi="Times New Roman" w:eastAsia="仿宋_GB2312" w:cs="Times New Roman"/>
          <w:snapToGrid w:val="0"/>
          <w:color w:val="auto"/>
          <w:kern w:val="0"/>
          <w:sz w:val="32"/>
          <w:szCs w:val="32"/>
          <w:lang w:val="en-US" w:eastAsia="zh-CN" w:bidi="ar"/>
        </w:rPr>
        <w:t>（一）</w:t>
      </w:r>
      <w:r>
        <w:rPr>
          <w:rFonts w:hint="eastAsia" w:ascii="仿宋_GB2312" w:eastAsia="仿宋_GB2312" w:cs="Times New Roman"/>
          <w:snapToGrid w:val="0"/>
          <w:color w:val="auto"/>
          <w:kern w:val="0"/>
          <w:sz w:val="32"/>
          <w:szCs w:val="32"/>
          <w:lang w:val="en-US" w:eastAsia="zh-CN" w:bidi="ar"/>
        </w:rPr>
        <w:t>工业</w:t>
      </w:r>
      <w:r>
        <w:rPr>
          <w:rFonts w:hint="eastAsia" w:ascii="仿宋_GB2312" w:hAnsi="Times New Roman" w:eastAsia="仿宋_GB2312" w:cs="Times New Roman"/>
          <w:snapToGrid w:val="0"/>
          <w:color w:val="auto"/>
          <w:kern w:val="0"/>
          <w:sz w:val="32"/>
          <w:szCs w:val="32"/>
          <w:lang w:val="en-US" w:eastAsia="zh-CN" w:bidi="ar"/>
        </w:rPr>
        <w:t>行业及小微企业的认定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FF0000"/>
          <w:sz w:val="32"/>
          <w:szCs w:val="32"/>
          <w:u w:val="single"/>
          <w:lang w:val="en-US" w:eastAsia="zh-CN"/>
        </w:rPr>
      </w:pPr>
      <w:r>
        <w:rPr>
          <w:rFonts w:hint="eastAsia" w:ascii="仿宋_GB2312" w:hAnsi="仿宋_GB2312" w:eastAsia="仿宋_GB2312" w:cs="仿宋_GB2312"/>
          <w:color w:val="auto"/>
          <w:sz w:val="32"/>
          <w:szCs w:val="32"/>
          <w:lang w:val="en-US" w:eastAsia="zh-CN"/>
        </w:rPr>
        <w:t>关于工业行业分类标准，可参考国家统计局《国民经济行业分类》。关于小微企业界定范围，可参考《关于印发中小企业划型标准规定的通知》（工信部联企业〔2011〕300号）、《统计上大中小微型企业划分标准》（国统字〔2017〕213号）或市场监管总局网站的“小微企业名录查询”模块。个体工商户是指营业执照登记类型为“个体工商户”的经营者。</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_GB2312" w:eastAsia="仿宋_GB2312"/>
          <w:snapToGrid w:val="0"/>
          <w:color w:val="auto"/>
          <w:kern w:val="0"/>
          <w:sz w:val="32"/>
          <w:szCs w:val="32"/>
          <w:lang w:eastAsia="zh-CN" w:bidi="ar"/>
        </w:rPr>
      </w:pPr>
      <w:r>
        <w:rPr>
          <w:rFonts w:hint="eastAsia" w:ascii="仿宋_GB2312" w:eastAsia="仿宋_GB2312"/>
          <w:snapToGrid w:val="0"/>
          <w:color w:val="auto"/>
          <w:kern w:val="0"/>
          <w:sz w:val="32"/>
          <w:szCs w:val="32"/>
          <w:lang w:eastAsia="zh-CN" w:bidi="ar"/>
        </w:rPr>
        <w:t>（二）减免租金范围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本次</w:t>
      </w:r>
      <w:r>
        <w:rPr>
          <w:rFonts w:hint="eastAsia" w:ascii="仿宋_GB2312" w:hAnsi="仿宋_GB2312" w:eastAsia="仿宋_GB2312" w:cs="仿宋_GB2312"/>
          <w:sz w:val="32"/>
          <w:szCs w:val="32"/>
          <w:lang w:eastAsia="zh-CN"/>
        </w:rPr>
        <w:t>减免租金</w:t>
      </w:r>
      <w:r>
        <w:rPr>
          <w:rFonts w:hint="eastAsia" w:ascii="仿宋_GB2312" w:hAnsi="仿宋_GB2312" w:eastAsia="仿宋_GB2312" w:cs="仿宋_GB2312"/>
          <w:sz w:val="32"/>
          <w:szCs w:val="32"/>
        </w:rPr>
        <w:t>的房产，</w:t>
      </w:r>
      <w:r>
        <w:rPr>
          <w:rFonts w:hint="eastAsia" w:ascii="仿宋_GB2312" w:hAnsi="仿宋_GB2312" w:eastAsia="仿宋_GB2312" w:cs="仿宋_GB2312"/>
          <w:color w:val="auto"/>
          <w:sz w:val="32"/>
          <w:szCs w:val="32"/>
          <w:lang w:eastAsia="zh-CN"/>
        </w:rPr>
        <w:t>指</w:t>
      </w:r>
      <w:r>
        <w:rPr>
          <w:rFonts w:hint="eastAsia" w:ascii="仿宋_GB2312" w:hAnsi="仿宋_GB2312" w:eastAsia="仿宋_GB2312" w:cs="仿宋_GB2312"/>
          <w:color w:val="auto"/>
          <w:sz w:val="32"/>
          <w:szCs w:val="32"/>
          <w:lang w:val="en-US" w:eastAsia="zh-CN"/>
        </w:rPr>
        <w:t>县属国有企业及其所属企业（包括全资、控股和实际控制企业)和行政事业单位及其下属企业（以下简称国有出租方）</w:t>
      </w:r>
      <w:r>
        <w:rPr>
          <w:rFonts w:hint="eastAsia" w:ascii="仿宋_GB2312" w:hAnsi="仿宋_GB2312" w:eastAsia="仿宋_GB2312" w:cs="仿宋_GB2312"/>
          <w:sz w:val="32"/>
          <w:szCs w:val="32"/>
          <w:lang w:eastAsia="zh-CN"/>
        </w:rPr>
        <w:t>拥有各类</w:t>
      </w:r>
      <w:r>
        <w:rPr>
          <w:rFonts w:hint="eastAsia" w:ascii="仿宋_GB2312" w:hAnsi="仿宋_GB2312" w:eastAsia="仿宋_GB2312" w:cs="仿宋_GB2312"/>
          <w:sz w:val="32"/>
          <w:szCs w:val="32"/>
          <w:lang w:val="en-US" w:eastAsia="zh-CN"/>
        </w:rPr>
        <w:t>出租房产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一般</w:t>
      </w:r>
      <w:r>
        <w:rPr>
          <w:rFonts w:hint="eastAsia" w:ascii="仿宋_GB2312" w:hAnsi="仿宋_GB2312" w:eastAsia="仿宋_GB2312" w:cs="仿宋_GB2312"/>
          <w:sz w:val="32"/>
          <w:szCs w:val="32"/>
        </w:rPr>
        <w:t>不包括</w:t>
      </w:r>
      <w:r>
        <w:rPr>
          <w:rFonts w:hint="eastAsia" w:ascii="仿宋_GB2312" w:hAnsi="仿宋_GB2312" w:eastAsia="仿宋_GB2312" w:cs="仿宋_GB2312"/>
          <w:sz w:val="32"/>
          <w:szCs w:val="32"/>
          <w:lang w:val="en-US" w:eastAsia="zh-CN"/>
        </w:rPr>
        <w:t>不动产权证标明的</w:t>
      </w:r>
      <w:r>
        <w:rPr>
          <w:rFonts w:hint="eastAsia" w:ascii="仿宋_GB2312" w:hAnsi="仿宋_GB2312" w:eastAsia="仿宋_GB2312" w:cs="仿宋_GB2312"/>
          <w:sz w:val="32"/>
          <w:szCs w:val="32"/>
        </w:rPr>
        <w:t>住宅</w:t>
      </w:r>
      <w:r>
        <w:rPr>
          <w:rFonts w:hint="eastAsia" w:ascii="仿宋_GB2312" w:hAnsi="仿宋_GB2312" w:eastAsia="仿宋_GB2312" w:cs="仿宋_GB2312"/>
          <w:sz w:val="32"/>
          <w:szCs w:val="32"/>
          <w:lang w:eastAsia="zh-CN"/>
        </w:rPr>
        <w:t>性质</w:t>
      </w:r>
      <w:r>
        <w:rPr>
          <w:rFonts w:hint="eastAsia" w:ascii="仿宋_GB2312" w:hAnsi="仿宋_GB2312" w:eastAsia="仿宋_GB2312" w:cs="仿宋_GB2312"/>
          <w:sz w:val="32"/>
          <w:szCs w:val="32"/>
        </w:rPr>
        <w:t>及住宅小区配套车库等为居住服务的配套设施。</w:t>
      </w:r>
      <w:r>
        <w:rPr>
          <w:rFonts w:hint="eastAsia" w:ascii="仿宋_GB2312" w:hAnsi="仿宋_GB2312" w:eastAsia="仿宋_GB2312" w:cs="仿宋_GB2312"/>
          <w:sz w:val="32"/>
          <w:szCs w:val="32"/>
          <w:lang w:eastAsia="zh-CN"/>
        </w:rPr>
        <w:t>专业性市场签订联营合同的，视同租赁，属于本次减免范围。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住宅性质的出租房产，租赁合同已明确约定用于生产经营（非居住）的，如承租人能提供与合同承租方名称相一致的营业执照，且营业执照地址与出租房屋地址一致的，可认定属于减免租金的房产范围；合同约定用于居住的，则不得减免；合同约定不明确或未约定具体用途的，承租方应提供该房产用于生产经营的相关佐证材料（如与合同承租方名称相一致的营业执照），出租方实地核实后，予以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3．国有出租方从其他单位（权属不归国有出租方）租入房产后转租的，或</w:t>
      </w:r>
      <w:r>
        <w:rPr>
          <w:rFonts w:hint="eastAsia" w:ascii="仿宋_GB2312" w:hAnsi="仿宋_GB2312" w:eastAsia="仿宋_GB2312" w:cs="仿宋_GB2312"/>
          <w:sz w:val="32"/>
          <w:szCs w:val="32"/>
          <w:lang w:eastAsia="zh-CN"/>
        </w:rPr>
        <w:t>国有物业公司将受业委会委托管理的</w:t>
      </w:r>
      <w:r>
        <w:rPr>
          <w:rFonts w:hint="eastAsia" w:ascii="仿宋_GB2312" w:hAnsi="仿宋_GB2312" w:eastAsia="仿宋_GB2312" w:cs="仿宋_GB2312"/>
          <w:sz w:val="32"/>
          <w:szCs w:val="32"/>
          <w:lang w:val="en-US" w:eastAsia="zh-CN"/>
        </w:rPr>
        <w:t>房产</w:t>
      </w:r>
      <w:r>
        <w:rPr>
          <w:rFonts w:hint="eastAsia" w:ascii="仿宋_GB2312" w:hAnsi="仿宋_GB2312" w:eastAsia="仿宋_GB2312" w:cs="仿宋_GB2312"/>
          <w:sz w:val="32"/>
          <w:szCs w:val="32"/>
          <w:lang w:eastAsia="zh-CN"/>
        </w:rPr>
        <w:t>对外租赁的，</w:t>
      </w:r>
      <w:r>
        <w:rPr>
          <w:rFonts w:hint="eastAsia" w:ascii="仿宋_GB2312" w:hAnsi="仿宋_GB2312" w:eastAsia="仿宋_GB2312" w:cs="仿宋_GB2312"/>
          <w:color w:val="auto"/>
          <w:sz w:val="32"/>
          <w:szCs w:val="32"/>
          <w:lang w:val="en-US" w:eastAsia="zh-CN"/>
        </w:rPr>
        <w:t>不属于本次</w:t>
      </w:r>
      <w:r>
        <w:rPr>
          <w:rFonts w:hint="eastAsia" w:ascii="仿宋_GB2312" w:hAnsi="仿宋_GB2312" w:eastAsia="仿宋_GB2312" w:cs="仿宋_GB2312"/>
          <w:sz w:val="32"/>
          <w:szCs w:val="32"/>
          <w:lang w:val="en-US" w:eastAsia="zh-CN"/>
        </w:rPr>
        <w:t>减租扶持政策适用范围。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（三）减免租金金额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普遍减免</w:t>
      </w:r>
      <w:r>
        <w:rPr>
          <w:rFonts w:hint="eastAsia" w:ascii="仿宋_GB2312" w:hAnsi="仿宋_GB2312" w:eastAsia="仿宋_GB2312" w:cs="仿宋_GB2312"/>
          <w:sz w:val="32"/>
          <w:szCs w:val="32"/>
        </w:rPr>
        <w:t>租金金额</w:t>
      </w:r>
      <w:r>
        <w:rPr>
          <w:rFonts w:hint="eastAsia" w:ascii="仿宋_GB2312" w:hAnsi="仿宋_GB2312" w:eastAsia="仿宋_GB2312" w:cs="仿宋_GB2312"/>
          <w:sz w:val="32"/>
          <w:szCs w:val="32"/>
          <w:lang w:eastAsia="zh-CN"/>
        </w:rPr>
        <w:t>。普遍减免</w:t>
      </w:r>
      <w:r>
        <w:rPr>
          <w:rFonts w:hint="eastAsia" w:ascii="仿宋_GB2312" w:hAnsi="仿宋_GB2312" w:eastAsia="仿宋_GB2312" w:cs="仿宋_GB2312"/>
          <w:sz w:val="32"/>
          <w:szCs w:val="32"/>
        </w:rPr>
        <w:t>租金金额</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color w:val="auto"/>
          <w:sz w:val="32"/>
          <w:szCs w:val="32"/>
          <w:lang w:val="en-US" w:eastAsia="zh-CN"/>
        </w:rPr>
        <w:t>2022年4-6月</w:t>
      </w:r>
      <w:r>
        <w:rPr>
          <w:rFonts w:hint="eastAsia" w:ascii="仿宋_GB2312" w:hAnsi="仿宋_GB2312" w:eastAsia="仿宋_GB2312" w:cs="仿宋_GB2312"/>
          <w:sz w:val="32"/>
          <w:szCs w:val="32"/>
          <w:lang w:eastAsia="zh-CN"/>
        </w:rPr>
        <w:t>按</w:t>
      </w:r>
      <w:r>
        <w:rPr>
          <w:rFonts w:hint="eastAsia" w:ascii="仿宋_GB2312" w:hAnsi="仿宋_GB2312" w:eastAsia="仿宋_GB2312" w:cs="仿宋_GB2312"/>
          <w:sz w:val="32"/>
          <w:szCs w:val="32"/>
          <w:lang w:val="en-US" w:eastAsia="zh-CN"/>
        </w:rPr>
        <w:t>有效租赁合</w:t>
      </w:r>
      <w:r>
        <w:rPr>
          <w:rFonts w:hint="eastAsia" w:ascii="仿宋_GB2312" w:hAnsi="仿宋_GB2312" w:eastAsia="仿宋_GB2312" w:cs="仿宋_GB2312"/>
          <w:sz w:val="32"/>
          <w:szCs w:val="32"/>
          <w:lang w:eastAsia="zh-CN"/>
        </w:rPr>
        <w:t>同计算实际应缴纳</w:t>
      </w:r>
      <w:r>
        <w:rPr>
          <w:rFonts w:hint="eastAsia" w:ascii="仿宋_GB2312" w:hAnsi="仿宋_GB2312" w:eastAsia="仿宋_GB2312" w:cs="仿宋_GB2312"/>
          <w:sz w:val="32"/>
          <w:szCs w:val="32"/>
        </w:rPr>
        <w:t>租金</w:t>
      </w:r>
      <w:r>
        <w:rPr>
          <w:rFonts w:hint="eastAsia" w:ascii="仿宋_GB2312" w:hAnsi="仿宋_GB2312" w:eastAsia="仿宋_GB2312" w:cs="仿宋_GB2312"/>
          <w:sz w:val="32"/>
          <w:szCs w:val="32"/>
          <w:lang w:eastAsia="zh-CN"/>
        </w:rPr>
        <w:t>金额</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不包括物业费、停车费等管理费用，</w:t>
      </w:r>
      <w:r>
        <w:rPr>
          <w:rFonts w:hint="eastAsia" w:ascii="仿宋_GB2312" w:hAnsi="仿宋_GB2312" w:eastAsia="仿宋_GB2312" w:cs="仿宋_GB2312"/>
          <w:sz w:val="32"/>
          <w:szCs w:val="32"/>
          <w:lang w:val="en-US" w:eastAsia="zh-CN"/>
        </w:rPr>
        <w:t>租期未完全覆盖4-6</w:t>
      </w:r>
      <w:r>
        <w:rPr>
          <w:rFonts w:hint="eastAsia" w:ascii="仿宋_GB2312" w:hAnsi="仿宋_GB2312" w:eastAsia="仿宋_GB2312" w:cs="仿宋_GB2312"/>
          <w:sz w:val="32"/>
          <w:szCs w:val="32"/>
        </w:rPr>
        <w:t>月份</w:t>
      </w:r>
      <w:r>
        <w:rPr>
          <w:rFonts w:hint="eastAsia" w:ascii="仿宋_GB2312" w:hAnsi="仿宋_GB2312" w:eastAsia="仿宋_GB2312" w:cs="仿宋_GB2312"/>
          <w:sz w:val="32"/>
          <w:szCs w:val="32"/>
          <w:lang w:eastAsia="zh-CN"/>
        </w:rPr>
        <w:t>的，按实际租期计算</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2．补充减免租金金额。如2022年市场主体所在的县级行政区域疫情风险等级确定为中高风险时，承租</w:t>
      </w:r>
      <w:r>
        <w:rPr>
          <w:rFonts w:hint="eastAsia" w:ascii="仿宋_GB2312" w:hAnsi="仿宋_GB2312" w:eastAsia="仿宋_GB2312" w:cs="仿宋_GB2312"/>
          <w:sz w:val="32"/>
          <w:szCs w:val="32"/>
          <w:lang w:eastAsia="zh-CN"/>
        </w:rPr>
        <w:t>上述房产的</w:t>
      </w:r>
      <w:r>
        <w:rPr>
          <w:rFonts w:hint="eastAsia" w:ascii="仿宋_GB2312" w:hAnsi="仿宋_GB2312" w:eastAsia="仿宋_GB2312" w:cs="仿宋_GB2312"/>
          <w:color w:val="auto"/>
          <w:sz w:val="32"/>
          <w:szCs w:val="32"/>
          <w:lang w:val="en-US" w:eastAsia="zh-CN"/>
        </w:rPr>
        <w:t>非国有工业企业；</w:t>
      </w:r>
      <w:r>
        <w:rPr>
          <w:rFonts w:hint="eastAsia" w:ascii="仿宋_GB2312" w:hAnsi="仿宋_GB2312" w:eastAsia="仿宋_GB2312" w:cs="仿宋_GB2312"/>
          <w:sz w:val="32"/>
          <w:szCs w:val="32"/>
          <w:lang w:val="en-US" w:eastAsia="zh-CN"/>
        </w:rPr>
        <w:t>小微企业和个体工商户，自确定为中高风险之日的当月起享受</w:t>
      </w:r>
      <w:r>
        <w:rPr>
          <w:rFonts w:hint="eastAsia" w:ascii="仿宋_GB2312" w:hAnsi="仿宋_GB2312" w:eastAsia="仿宋_GB2312" w:cs="仿宋_GB2312"/>
          <w:sz w:val="32"/>
          <w:szCs w:val="32"/>
          <w:lang w:eastAsia="zh-CN"/>
        </w:rPr>
        <w:t>三个月租金减免，剩余租期不足三个月的，按实际剩余租期计算</w:t>
      </w:r>
      <w:r>
        <w:rPr>
          <w:rFonts w:hint="eastAsia" w:ascii="仿宋_GB2312" w:hAnsi="仿宋_GB2312" w:eastAsia="仿宋_GB2312" w:cs="仿宋_GB2312"/>
          <w:sz w:val="32"/>
          <w:szCs w:val="32"/>
          <w:lang w:val="en-US" w:eastAsia="zh-CN"/>
        </w:rPr>
        <w:t>。（例：某地11月15日被确定为中高风险地区，则可享受2022年11月-2023年1月期间租金减免）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3．普遍减免期和补充减免期</w:t>
      </w:r>
      <w:r>
        <w:rPr>
          <w:rFonts w:hint="eastAsia" w:ascii="仿宋_GB2312" w:hAnsi="仿宋_GB2312" w:eastAsia="仿宋_GB2312" w:cs="仿宋_GB2312"/>
          <w:sz w:val="32"/>
          <w:szCs w:val="32"/>
          <w:lang w:eastAsia="zh-CN"/>
        </w:rPr>
        <w:t>处于装修免租期或培育期，</w:t>
      </w:r>
      <w:r>
        <w:rPr>
          <w:rFonts w:hint="eastAsia" w:ascii="仿宋_GB2312" w:hAnsi="仿宋_GB2312" w:eastAsia="仿宋_GB2312" w:cs="仿宋_GB2312"/>
          <w:sz w:val="32"/>
          <w:szCs w:val="32"/>
        </w:rPr>
        <w:t>已涉及免租、优惠租金等情形的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以实收租金计算减免金额，</w:t>
      </w:r>
      <w:r>
        <w:rPr>
          <w:rFonts w:hint="eastAsia" w:ascii="仿宋_GB2312" w:hAnsi="仿宋_GB2312" w:eastAsia="仿宋_GB2312" w:cs="仿宋_GB2312"/>
          <w:sz w:val="32"/>
          <w:szCs w:val="32"/>
          <w:lang w:eastAsia="zh-CN"/>
        </w:rPr>
        <w:t>租金金额为零的，不再享受本政策减免优惠。</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_GB2312" w:eastAsia="仿宋_GB2312"/>
          <w:snapToGrid w:val="0"/>
          <w:color w:val="auto"/>
          <w:kern w:val="0"/>
          <w:sz w:val="32"/>
          <w:szCs w:val="32"/>
          <w:lang w:val="en-US" w:eastAsia="zh-CN" w:bidi="ar"/>
        </w:rPr>
      </w:pPr>
      <w:r>
        <w:rPr>
          <w:rFonts w:hint="eastAsia" w:ascii="仿宋_GB2312" w:eastAsia="仿宋_GB2312"/>
          <w:snapToGrid w:val="0"/>
          <w:color w:val="auto"/>
          <w:kern w:val="0"/>
          <w:sz w:val="32"/>
          <w:szCs w:val="32"/>
          <w:lang w:val="en-US" w:eastAsia="zh-CN" w:bidi="ar"/>
        </w:rPr>
        <w:t>（四）租赁合同的认定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普遍减免租赁合同签订日应早于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2022年3月31日</w:t>
      </w:r>
      <w:r>
        <w:rPr>
          <w:rFonts w:hint="eastAsia" w:ascii="仿宋_GB2312" w:hAnsi="仿宋_GB2312" w:eastAsia="仿宋_GB2312" w:cs="仿宋_GB2312"/>
          <w:sz w:val="32"/>
          <w:szCs w:val="32"/>
          <w:lang w:val="en-US" w:eastAsia="zh-CN"/>
        </w:rPr>
        <w:t>，补充减免租赁合同签订日应早于政府公告疫情风险等级调整为中高风险之日。租赁合同承租人原则上应与提供的营业执照名称相一致。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已于2022年3月31日前完成租赁程序，程序合规且存在事实上的租赁关系，正处于签署租赁合同过程中的，可按照“实质重于形式”原则，依据有关证据材料（营业执照、租金支付凭证、成交确认书等）和情况说明报相关主管部门和县属国企认定，无主管部门的由国有出租方按内部控制制度自行审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补充减免合同承租人、营业执照及租赁关系认定与普遍减免合同认定方式一致。</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_GB2312" w:hAnsi="Times New Roman" w:eastAsia="仿宋_GB2312" w:cs="Times New Roman"/>
          <w:snapToGrid w:val="0"/>
          <w:color w:val="auto"/>
          <w:kern w:val="0"/>
          <w:sz w:val="32"/>
          <w:szCs w:val="32"/>
          <w:lang w:val="en-US" w:eastAsia="zh-CN" w:bidi="ar"/>
        </w:rPr>
      </w:pPr>
      <w:r>
        <w:rPr>
          <w:rFonts w:hint="eastAsia" w:ascii="仿宋_GB2312" w:hAnsi="Times New Roman" w:eastAsia="仿宋_GB2312" w:cs="Times New Roman"/>
          <w:snapToGrid w:val="0"/>
          <w:color w:val="auto"/>
          <w:kern w:val="0"/>
          <w:sz w:val="32"/>
          <w:szCs w:val="32"/>
          <w:lang w:val="en-US" w:eastAsia="zh-CN" w:bidi="ar"/>
        </w:rPr>
        <w:t>（五）办理时间要求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减免第二季度租金的，要在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今年6月30日前</w:t>
      </w:r>
      <w:r>
        <w:rPr>
          <w:rFonts w:hint="eastAsia" w:ascii="仿宋_GB2312" w:hAnsi="仿宋_GB2312" w:eastAsia="仿宋_GB2312" w:cs="仿宋_GB2312"/>
          <w:sz w:val="32"/>
          <w:szCs w:val="32"/>
          <w:lang w:val="en-US" w:eastAsia="zh-CN"/>
        </w:rPr>
        <w:t>完成租金减免主体工作。补充减免3个月租金工作要在列为疫情中高风险地区后2个月内完成。逾期申请的，不予受理。</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_GB2312" w:hAnsi="Times New Roman" w:eastAsia="仿宋_GB2312" w:cs="Times New Roman"/>
          <w:snapToGrid w:val="0"/>
          <w:color w:val="auto"/>
          <w:kern w:val="0"/>
          <w:sz w:val="32"/>
          <w:szCs w:val="32"/>
          <w:lang w:val="en-US" w:eastAsia="zh-CN" w:bidi="ar"/>
        </w:rPr>
      </w:pPr>
      <w:r>
        <w:rPr>
          <w:rFonts w:hint="eastAsia" w:ascii="仿宋_GB2312" w:hAnsi="Times New Roman" w:eastAsia="仿宋_GB2312" w:cs="Times New Roman"/>
          <w:snapToGrid w:val="0"/>
          <w:color w:val="auto"/>
          <w:kern w:val="0"/>
          <w:sz w:val="32"/>
          <w:szCs w:val="32"/>
          <w:lang w:val="en-US" w:eastAsia="zh-CN" w:bidi="ar"/>
        </w:rPr>
        <w:t>（六）涉及转租的政策处理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转租方为我县国有出租方的，应当与房屋产权方以各自实收的租金为限共同承担减免的租金，要根据不同情况分类处理并严格把关，确保减租政策有效传导至最终承租人：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国有出租方土地房产的权属人（管理人）间接出租给最终承租户，中间经二级招商物业或转租，如有涉及国有出租方的，除一级国有权属人（管理人）收取的租金要减免给最终承租户外，所涉及二级招商物业或转租的国有出租方其增加的溢价部分，也要执行政策按相应计算值减免给最终承租户享受，若二级国有转租人溢价出租的，一级国有权属人（管理人）与二级国有转租人均为减免租金负担对象；若二级国有转租人原价或折价出租的，一级国有权属人（管理人）为减免租金负担对象，减免金额以二级国有转租人与最终承租人签订的合同金额为基准。（举例：权属人甲国企将房产以10万元出租给乙国企，乙国企经甲国企同意转租，若加价2万元转租给符合条件的最终承租户，则分别以10万元和2万元为折算基数计算减免金额，由甲国企和乙国企减免给最终承租户；若按原价10万元平价转租（或7万元折价转租），则以10万（或7万）为折算基数计算减免金额，由甲国企减免给最终承租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国有出租方土地房产的权属人（管理人）间接出租给最终承租户，中间经二级招商物业或转租，不涉及国有出租方的，一级国有权属人（管理人）收取的租金要减免给符合条件的最终承租户，一级国有权属人（管理人）为减免租金负担对象。二级转租人原价或折价出租的，减免金额以二级转租人与最终承租人签订的合同金额为基准。一级国有权属人（管理人）应采取各种适当途径，如可设置未落实减免行为的可收回减租优惠政策、解除合同或其他惩罚性条款，可通过多方租赁主体共同签订协议的方式，督促二级非国有转租人把国有租金减免部分落实到最终承租户。二级非国有转租人可自行决定溢价部分减免问题。招商、转租过程中涉及多级国有承租人的，各级国有承租人应确保将租金和国有承租人溢价部分落实到最终承租户。减免租金实际负担人未明确的，国有出租方要先确保将减免租金落实至最终承租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3．若承租人部分转租的，国有出租方收取的租金按转租部分的评估值占整个房屋评估值的比例折算；若未经评估或无法确定转租部分的评估值的，按转租部分的面积占整个房屋面积的比例折算。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三、规范减免流程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（一）摸底。国有出租方要</w:t>
      </w:r>
      <w:r>
        <w:rPr>
          <w:rFonts w:hint="eastAsia" w:ascii="仿宋_GB2312" w:hAnsi="仿宋_GB2312" w:eastAsia="仿宋_GB2312" w:cs="仿宋_GB2312"/>
          <w:sz w:val="32"/>
          <w:szCs w:val="32"/>
        </w:rPr>
        <w:t>尽快摸清房产承租方、实际经营承租方（如有间接出租方的）相关基本情况，形成房产承租方、实际经营承租方两个</w:t>
      </w:r>
      <w:r>
        <w:rPr>
          <w:rFonts w:hint="eastAsia" w:ascii="仿宋_GB2312" w:hAnsi="仿宋_GB2312" w:eastAsia="仿宋_GB2312" w:cs="仿宋_GB2312"/>
          <w:sz w:val="32"/>
          <w:szCs w:val="32"/>
          <w:lang w:eastAsia="zh-CN"/>
        </w:rPr>
        <w:t>汇总表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仔细测算减免租金金额，</w:t>
      </w:r>
      <w:r>
        <w:rPr>
          <w:rFonts w:hint="eastAsia" w:ascii="仿宋_GB2312" w:hAnsi="仿宋_GB2312" w:eastAsia="仿宋_GB2312" w:cs="仿宋_GB2312"/>
          <w:sz w:val="32"/>
          <w:szCs w:val="32"/>
          <w:lang w:val="en-US" w:eastAsia="zh-CN"/>
        </w:rPr>
        <w:t>并形成租金减免初步清单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（二）告知。</w:t>
      </w:r>
      <w:r>
        <w:rPr>
          <w:rFonts w:hint="eastAsia" w:ascii="仿宋_GB2312" w:hAnsi="仿宋_GB2312" w:eastAsia="仿宋_GB2312" w:cs="仿宋_GB2312"/>
          <w:sz w:val="32"/>
          <w:szCs w:val="32"/>
        </w:rPr>
        <w:t>要根据摸底情况，通过公告、电话、电子邮件、网络等方式告知政策范围内</w:t>
      </w:r>
      <w:r>
        <w:rPr>
          <w:rFonts w:hint="eastAsia" w:ascii="仿宋_GB2312" w:hAnsi="仿宋_GB2312" w:eastAsia="仿宋_GB2312" w:cs="仿宋_GB2312"/>
          <w:sz w:val="32"/>
          <w:szCs w:val="32"/>
          <w:lang w:eastAsia="zh-CN"/>
        </w:rPr>
        <w:t>各企业及个体工商户</w:t>
      </w:r>
      <w:r>
        <w:rPr>
          <w:rFonts w:hint="eastAsia" w:ascii="仿宋_GB2312" w:hAnsi="仿宋_GB2312" w:eastAsia="仿宋_GB2312" w:cs="仿宋_GB2312"/>
          <w:sz w:val="32"/>
          <w:szCs w:val="32"/>
        </w:rPr>
        <w:t>，做到应知尽知。告知内容应包括：</w:t>
      </w:r>
      <w:r>
        <w:rPr>
          <w:rFonts w:hint="eastAsia" w:ascii="仿宋_GB2312" w:hAnsi="仿宋_GB2312" w:eastAsia="仿宋_GB2312" w:cs="仿宋_GB2312"/>
          <w:sz w:val="32"/>
          <w:szCs w:val="32"/>
          <w:lang w:eastAsia="zh-CN"/>
        </w:rPr>
        <w:t>房租</w:t>
      </w:r>
      <w:r>
        <w:rPr>
          <w:rFonts w:hint="eastAsia" w:ascii="仿宋_GB2312" w:hAnsi="仿宋_GB2312" w:eastAsia="仿宋_GB2312" w:cs="仿宋_GB2312"/>
          <w:sz w:val="32"/>
          <w:szCs w:val="32"/>
        </w:rPr>
        <w:t>减免范围、标准，办理程序，受理联系人及联系方式，受理时间，需提交的材料等。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lang w:val="en-US" w:eastAsia="zh-CN"/>
        </w:rPr>
        <w:t>（三）受理。</w:t>
      </w:r>
      <w:r>
        <w:rPr>
          <w:rFonts w:hint="eastAsia" w:ascii="仿宋_GB2312" w:hAnsi="仿宋_GB2312" w:eastAsia="仿宋_GB2312" w:cs="仿宋_GB2312"/>
          <w:sz w:val="32"/>
          <w:szCs w:val="32"/>
        </w:rPr>
        <w:t>坚持便捷、高效开展受理工作，受理承租方提供的申请及相关证明材料时，要按照疫情防控有关要求，</w:t>
      </w:r>
      <w:r>
        <w:rPr>
          <w:rFonts w:hint="eastAsia" w:ascii="仿宋_GB2312" w:hAnsi="仿宋_GB2312" w:eastAsia="仿宋_GB2312" w:cs="仿宋_GB2312"/>
          <w:sz w:val="32"/>
          <w:szCs w:val="32"/>
          <w:lang w:val="en-US" w:eastAsia="zh-CN"/>
        </w:rPr>
        <w:t>优先</w:t>
      </w:r>
      <w:r>
        <w:rPr>
          <w:rFonts w:hint="eastAsia" w:ascii="仿宋_GB2312" w:hAnsi="仿宋_GB2312" w:eastAsia="仿宋_GB2312" w:cs="仿宋_GB2312"/>
          <w:sz w:val="32"/>
          <w:szCs w:val="32"/>
        </w:rPr>
        <w:t>采取网上申报、信函等多种方式予以受理。</w:t>
      </w:r>
      <w:r>
        <w:rPr>
          <w:rFonts w:hint="eastAsia" w:ascii="仿宋_GB2312" w:hAnsi="仿宋_GB2312" w:eastAsia="仿宋_GB2312" w:cs="仿宋_GB2312"/>
          <w:color w:val="auto"/>
          <w:sz w:val="32"/>
          <w:szCs w:val="32"/>
          <w:lang w:val="en-US" w:eastAsia="zh-CN"/>
        </w:rPr>
        <w:t>申请减租的</w:t>
      </w:r>
      <w:r>
        <w:rPr>
          <w:rFonts w:hint="eastAsia" w:ascii="仿宋_GB2312" w:hAnsi="仿宋_GB2312" w:eastAsia="仿宋_GB2312" w:cs="仿宋_GB2312"/>
          <w:color w:val="auto"/>
          <w:sz w:val="32"/>
          <w:szCs w:val="32"/>
        </w:rPr>
        <w:t>承租方</w:t>
      </w:r>
      <w:r>
        <w:rPr>
          <w:rFonts w:hint="eastAsia" w:ascii="仿宋_GB2312" w:hAnsi="仿宋_GB2312" w:eastAsia="仿宋_GB2312" w:cs="仿宋_GB2312"/>
          <w:color w:val="auto"/>
          <w:sz w:val="32"/>
          <w:szCs w:val="32"/>
          <w:lang w:val="en-US" w:eastAsia="zh-CN"/>
        </w:rPr>
        <w:t>应</w:t>
      </w:r>
      <w:r>
        <w:rPr>
          <w:rFonts w:hint="eastAsia" w:ascii="仿宋_GB2312" w:hAnsi="仿宋_GB2312" w:eastAsia="仿宋_GB2312" w:cs="仿宋_GB2312"/>
          <w:color w:val="auto"/>
          <w:sz w:val="32"/>
          <w:szCs w:val="32"/>
        </w:rPr>
        <w:t>提供</w:t>
      </w:r>
      <w:r>
        <w:rPr>
          <w:rFonts w:hint="eastAsia" w:ascii="仿宋_GB2312" w:hAnsi="仿宋_GB2312" w:eastAsia="仿宋_GB2312" w:cs="仿宋_GB2312"/>
          <w:color w:val="auto"/>
          <w:sz w:val="32"/>
          <w:szCs w:val="32"/>
          <w:lang w:val="en-US" w:eastAsia="zh-CN"/>
        </w:rPr>
        <w:t>的材料包括：申请报告、承诺函、营业执照、租赁合同、其他相关材料（</w:t>
      </w:r>
      <w:r>
        <w:rPr>
          <w:rFonts w:hint="eastAsia" w:ascii="仿宋_GB2312" w:hAnsi="仿宋_GB2312" w:eastAsia="仿宋_GB2312" w:cs="仿宋_GB2312"/>
          <w:color w:val="auto"/>
          <w:sz w:val="32"/>
          <w:szCs w:val="32"/>
        </w:rPr>
        <w:t>如涉及转租的，还要提供转租合同、最终承租人的租金支付凭证等</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w:t>
      </w:r>
    </w:p>
    <w:p>
      <w:pPr>
        <w:pStyle w:val="2"/>
        <w:ind w:firstLine="640" w:firstLineChars="200"/>
        <w:jc w:val="both"/>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sz w:val="32"/>
          <w:szCs w:val="32"/>
          <w:lang w:val="en-US" w:eastAsia="zh-CN"/>
        </w:rPr>
        <w:t>（四）审核审批。</w:t>
      </w:r>
      <w:r>
        <w:rPr>
          <w:rFonts w:hint="eastAsia" w:ascii="仿宋_GB2312" w:hAnsi="仿宋_GB2312" w:eastAsia="仿宋_GB2312" w:cs="仿宋_GB2312"/>
          <w:color w:val="auto"/>
          <w:kern w:val="2"/>
          <w:sz w:val="32"/>
          <w:szCs w:val="32"/>
          <w:lang w:val="en-US" w:eastAsia="zh-CN" w:bidi="ar-SA"/>
        </w:rPr>
        <w:t>国有出租方对申报材料进行审核，按照内部控制制度履行决策程序后，报主管部门（</w:t>
      </w:r>
      <w:r>
        <w:rPr>
          <w:rFonts w:hint="eastAsia" w:ascii="仿宋_GB2312" w:hAnsi="仿宋_GB2312" w:eastAsia="仿宋_GB2312" w:cs="仿宋_GB2312"/>
          <w:color w:val="auto"/>
          <w:sz w:val="32"/>
          <w:szCs w:val="32"/>
          <w:lang w:eastAsia="zh-CN"/>
        </w:rPr>
        <w:t>国企集团）</w:t>
      </w:r>
      <w:r>
        <w:rPr>
          <w:rFonts w:hint="eastAsia" w:ascii="仿宋_GB2312" w:hAnsi="仿宋_GB2312" w:eastAsia="仿宋_GB2312" w:cs="仿宋_GB2312"/>
          <w:color w:val="auto"/>
          <w:kern w:val="2"/>
          <w:sz w:val="32"/>
          <w:szCs w:val="32"/>
          <w:lang w:val="en-US" w:eastAsia="zh-CN" w:bidi="ar-SA"/>
        </w:rPr>
        <w:t>审批。主管部门（</w:t>
      </w:r>
      <w:r>
        <w:rPr>
          <w:rFonts w:hint="eastAsia" w:ascii="仿宋_GB2312" w:hAnsi="仿宋_GB2312" w:eastAsia="仿宋_GB2312" w:cs="仿宋_GB2312"/>
          <w:color w:val="auto"/>
          <w:sz w:val="32"/>
          <w:szCs w:val="32"/>
          <w:lang w:eastAsia="zh-CN"/>
        </w:rPr>
        <w:t>国企集团）</w:t>
      </w:r>
      <w:r>
        <w:rPr>
          <w:rFonts w:hint="eastAsia" w:ascii="仿宋_GB2312" w:hAnsi="仿宋_GB2312" w:eastAsia="仿宋_GB2312" w:cs="仿宋_GB2312"/>
          <w:color w:val="auto"/>
          <w:kern w:val="2"/>
          <w:sz w:val="32"/>
          <w:szCs w:val="32"/>
          <w:lang w:val="en-US" w:eastAsia="zh-CN" w:bidi="ar-SA"/>
        </w:rPr>
        <w:t>根据本通知有关规定，做好审批工作；无主管部门的由国有出租方按内部控制制度自行审批。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（五）公示。</w:t>
      </w:r>
      <w:r>
        <w:rPr>
          <w:rFonts w:hint="eastAsia" w:ascii="仿宋_GB2312" w:hAnsi="仿宋_GB2312" w:eastAsia="仿宋_GB2312" w:cs="仿宋_GB2312"/>
          <w:color w:val="auto"/>
          <w:sz w:val="32"/>
          <w:szCs w:val="32"/>
          <w:lang w:eastAsia="zh-CN"/>
        </w:rPr>
        <w:t>国有出租方</w:t>
      </w:r>
      <w:r>
        <w:rPr>
          <w:rFonts w:hint="eastAsia" w:ascii="仿宋_GB2312" w:hAnsi="仿宋_GB2312" w:eastAsia="仿宋_GB2312" w:cs="仿宋_GB2312"/>
          <w:sz w:val="32"/>
          <w:szCs w:val="32"/>
          <w:lang w:val="en-US" w:eastAsia="zh-CN"/>
        </w:rPr>
        <w:t>要</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审批通过的减免</w:t>
      </w:r>
      <w:r>
        <w:rPr>
          <w:rFonts w:hint="eastAsia" w:ascii="仿宋_GB2312" w:hAnsi="仿宋_GB2312" w:eastAsia="仿宋_GB2312" w:cs="仿宋_GB2312"/>
          <w:sz w:val="32"/>
          <w:szCs w:val="32"/>
        </w:rPr>
        <w:t>名单和减免租金金额</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color w:val="auto"/>
          <w:sz w:val="32"/>
          <w:szCs w:val="32"/>
          <w:lang w:eastAsia="zh-CN"/>
        </w:rPr>
        <w:t>各主管部门网站、国企集团</w:t>
      </w:r>
      <w:r>
        <w:rPr>
          <w:rFonts w:hint="eastAsia" w:ascii="仿宋_GB2312" w:hAnsi="仿宋_GB2312" w:eastAsia="仿宋_GB2312" w:cs="仿宋_GB2312"/>
          <w:color w:val="auto"/>
          <w:sz w:val="32"/>
          <w:szCs w:val="32"/>
        </w:rPr>
        <w:t>网站</w:t>
      </w:r>
      <w:r>
        <w:rPr>
          <w:rFonts w:hint="eastAsia" w:ascii="仿宋_GB2312" w:hAnsi="仿宋_GB2312" w:eastAsia="仿宋_GB2312" w:cs="仿宋_GB2312"/>
          <w:color w:val="auto"/>
          <w:sz w:val="32"/>
          <w:szCs w:val="32"/>
          <w:lang w:eastAsia="zh-CN"/>
        </w:rPr>
        <w:t>或本单位门户网站公示5个工作日。</w:t>
      </w:r>
    </w:p>
    <w:p>
      <w:pPr>
        <w:pStyle w:val="6"/>
        <w:spacing w:line="540" w:lineRule="exact"/>
        <w:ind w:left="0" w:firstLine="624" w:firstLineChars="200"/>
        <w:rPr>
          <w:rFonts w:hint="eastAsia" w:ascii="仿宋_GB2312" w:eastAsia="仿宋_GB2312"/>
          <w:szCs w:val="32"/>
        </w:rPr>
      </w:pPr>
      <w:r>
        <w:rPr>
          <w:rFonts w:hint="eastAsia" w:ascii="仿宋_GB2312" w:hAnsi="仿宋_GB2312" w:eastAsia="仿宋_GB2312" w:cs="仿宋_GB2312"/>
          <w:sz w:val="32"/>
          <w:szCs w:val="32"/>
          <w:lang w:val="en-US" w:eastAsia="zh-CN"/>
        </w:rPr>
        <w:t>（六）办理与反馈。</w:t>
      </w:r>
      <w:r>
        <w:rPr>
          <w:rFonts w:hint="eastAsia" w:ascii="仿宋_GB2312" w:eastAsia="仿宋_GB2312"/>
          <w:szCs w:val="32"/>
        </w:rPr>
        <w:t>国有出租方要及时通知承租方签订减免租金协议并进行分类处理：当期租金还未收取的，直接扣减当期租金；已经收取的，优先在下一期租金中抵扣（经协商，也可退还租金或延长租期）；租赁合同已到期的，采取退还租金的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对于不符合减免条件的承租方，要及时告知并做好政策解释。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（七）统计存档。国有出租方</w:t>
      </w:r>
      <w:r>
        <w:rPr>
          <w:rFonts w:hint="eastAsia" w:ascii="仿宋_GB2312" w:hAnsi="仿宋_GB2312" w:eastAsia="仿宋_GB2312" w:cs="仿宋_GB2312"/>
          <w:sz w:val="32"/>
          <w:szCs w:val="32"/>
        </w:rPr>
        <w:t>对于房租减免情况</w:t>
      </w:r>
      <w:r>
        <w:rPr>
          <w:rFonts w:hint="eastAsia" w:ascii="仿宋_GB2312" w:hAnsi="仿宋_GB2312" w:eastAsia="仿宋_GB2312" w:cs="仿宋_GB2312"/>
          <w:sz w:val="32"/>
          <w:szCs w:val="32"/>
          <w:lang w:val="en-US" w:eastAsia="zh-CN"/>
        </w:rPr>
        <w:t>要</w:t>
      </w:r>
      <w:r>
        <w:rPr>
          <w:rFonts w:hint="eastAsia" w:ascii="仿宋_GB2312" w:hAnsi="仿宋_GB2312" w:eastAsia="仿宋_GB2312" w:cs="仿宋_GB2312"/>
          <w:sz w:val="32"/>
          <w:szCs w:val="32"/>
        </w:rPr>
        <w:t>逐笔记录，统一汇总，建立档案，形成底表</w:t>
      </w:r>
      <w:r>
        <w:rPr>
          <w:rFonts w:hint="eastAsia" w:ascii="仿宋_GB2312" w:hAnsi="仿宋_GB2312" w:eastAsia="仿宋_GB2312" w:cs="仿宋_GB2312"/>
          <w:sz w:val="32"/>
          <w:szCs w:val="32"/>
          <w:lang w:eastAsia="zh-CN"/>
        </w:rPr>
        <w:t>，以备检查</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具体流程和规定由</w:t>
      </w:r>
      <w:r>
        <w:rPr>
          <w:rFonts w:hint="eastAsia" w:ascii="仿宋_GB2312" w:hAnsi="仿宋_GB2312" w:eastAsia="仿宋_GB2312" w:cs="仿宋_GB2312"/>
          <w:color w:val="auto"/>
          <w:sz w:val="32"/>
          <w:szCs w:val="32"/>
          <w:lang w:eastAsia="zh-CN"/>
        </w:rPr>
        <w:t>国有出租方</w:t>
      </w:r>
      <w:r>
        <w:rPr>
          <w:rFonts w:hint="eastAsia" w:ascii="仿宋_GB2312" w:hAnsi="仿宋_GB2312" w:eastAsia="仿宋_GB2312" w:cs="仿宋_GB2312"/>
          <w:sz w:val="32"/>
          <w:szCs w:val="32"/>
        </w:rPr>
        <w:t>结合实际研究制定。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四、相关工作要求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sz w:val="32"/>
          <w:szCs w:val="32"/>
          <w:lang w:val="en-US" w:eastAsia="zh-CN"/>
        </w:rPr>
        <w:t>（一）建立工作专班。</w:t>
      </w:r>
      <w:r>
        <w:rPr>
          <w:rFonts w:hint="eastAsia" w:ascii="仿宋_GB2312" w:hAnsi="仿宋_GB2312" w:eastAsia="仿宋_GB2312" w:cs="仿宋_GB2312"/>
          <w:color w:val="auto"/>
          <w:sz w:val="32"/>
          <w:szCs w:val="32"/>
          <w:lang w:val="en-US" w:eastAsia="zh-CN"/>
        </w:rPr>
        <w:t>国有出租方</w:t>
      </w:r>
      <w:r>
        <w:rPr>
          <w:rFonts w:hint="eastAsia" w:ascii="仿宋_GB2312" w:hAnsi="仿宋_GB2312" w:eastAsia="仿宋_GB2312" w:cs="仿宋_GB2312"/>
          <w:sz w:val="32"/>
          <w:szCs w:val="32"/>
          <w:lang w:val="en-US" w:eastAsia="zh-CN"/>
        </w:rPr>
        <w:t>要迅速成立工作专班，认真做好方案细化、政策宣传解读等工作。要完善减租问题受理机制，依法合规妥善处理问题诉求。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（二）规范减租操作。国有出租方要认真落实主体责任，制定减租实施方案，严格审批流程，做到高效便利、规范有序，对不符合条件的租户不得减免，杜绝随意减免情况发生。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（三）建立信息统计报送机制。</w:t>
      </w:r>
      <w:r>
        <w:rPr>
          <w:rFonts w:hint="eastAsia" w:ascii="仿宋_GB2312" w:hAnsi="仿宋_GB2312" w:eastAsia="仿宋_GB2312" w:cs="仿宋_GB2312"/>
          <w:color w:val="auto"/>
          <w:sz w:val="32"/>
          <w:szCs w:val="32"/>
          <w:lang w:val="en-US" w:eastAsia="zh-CN"/>
        </w:rPr>
        <w:t>各主管部门、各县属国有企业</w:t>
      </w:r>
      <w:r>
        <w:rPr>
          <w:rFonts w:hint="eastAsia" w:ascii="仿宋_GB2312" w:hAnsi="仿宋_GB2312" w:eastAsia="仿宋_GB2312" w:cs="仿宋_GB2312"/>
          <w:color w:val="auto"/>
          <w:sz w:val="32"/>
          <w:szCs w:val="32"/>
          <w:u w:val="none"/>
          <w:lang w:val="en-US" w:eastAsia="zh-CN"/>
        </w:rPr>
        <w:t>5月8日前</w:t>
      </w:r>
      <w:r>
        <w:rPr>
          <w:rFonts w:hint="eastAsia" w:ascii="仿宋_GB2312" w:hAnsi="仿宋_GB2312" w:eastAsia="仿宋_GB2312" w:cs="仿宋_GB2312"/>
          <w:sz w:val="32"/>
          <w:szCs w:val="32"/>
          <w:lang w:val="en-US" w:eastAsia="zh-CN"/>
        </w:rPr>
        <w:t>要将工作专班人员名单和联系方式（见附件1），以及统计表中符合减租条件的承租户数量和减租金额等情况（见附件2）通过浙政钉或者邮箱报送。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减免租金扶持政策实际执行情况和数据，实行日报制度，各</w:t>
      </w:r>
      <w:r>
        <w:rPr>
          <w:rFonts w:hint="eastAsia" w:ascii="仿宋_GB2312" w:hAnsi="仿宋_GB2312" w:eastAsia="仿宋_GB2312" w:cs="仿宋_GB2312"/>
          <w:color w:val="auto"/>
          <w:sz w:val="32"/>
          <w:szCs w:val="32"/>
          <w:lang w:val="en-US" w:eastAsia="zh-CN"/>
        </w:rPr>
        <w:t>县属国有企业</w:t>
      </w:r>
      <w:r>
        <w:rPr>
          <w:rFonts w:hint="eastAsia" w:ascii="仿宋_GB2312" w:hAnsi="仿宋_GB2312" w:eastAsia="仿宋_GB2312" w:cs="仿宋_GB2312"/>
          <w:sz w:val="32"/>
          <w:szCs w:val="32"/>
          <w:lang w:val="en-US" w:eastAsia="zh-CN"/>
        </w:rPr>
        <w:t>负责汇</w:t>
      </w:r>
      <w:r>
        <w:rPr>
          <w:rFonts w:hint="eastAsia" w:ascii="仿宋_GB2312" w:hAnsi="仿宋_GB2312" w:eastAsia="仿宋_GB2312" w:cs="仿宋_GB2312"/>
          <w:color w:val="auto"/>
          <w:sz w:val="32"/>
          <w:szCs w:val="32"/>
          <w:lang w:val="en-US" w:eastAsia="zh-CN"/>
        </w:rPr>
        <w:t>总本集团及其所属全资、控股和实际控制企业</w:t>
      </w:r>
      <w:r>
        <w:rPr>
          <w:rFonts w:hint="eastAsia" w:ascii="仿宋_GB2312" w:hAnsi="仿宋_GB2312" w:eastAsia="仿宋_GB2312" w:cs="仿宋_GB2312"/>
          <w:sz w:val="32"/>
          <w:szCs w:val="32"/>
          <w:lang w:val="en-US" w:eastAsia="zh-CN"/>
        </w:rPr>
        <w:t>房租减免工作进度情况，并于每日10:30前填报截至当日进展情况（若当日数据无新增，请发送“无”），通过浙政钉报送（附件2、3电子文档及盖章扫描件）县财政局国资产权中心。（联系人：徐王婷 联系电话：15088559630机关网：649630）。</w:t>
      </w:r>
    </w:p>
    <w:p>
      <w:pPr>
        <w:pStyle w:val="2"/>
        <w:ind w:left="0" w:leftChars="0" w:firstLine="640" w:firstLineChars="200"/>
        <w:jc w:val="left"/>
        <w:rPr>
          <w:rFonts w:hint="default" w:ascii="仿宋_GB2312" w:hAnsi="仿宋_GB2312" w:eastAsia="仿宋_GB2312" w:cs="仿宋_GB2312"/>
          <w:spacing w:val="-20"/>
          <w:kern w:val="2"/>
          <w:sz w:val="32"/>
          <w:szCs w:val="32"/>
          <w:lang w:val="en-US" w:eastAsia="zh-CN" w:bidi="ar-SA"/>
        </w:rPr>
      </w:pPr>
      <w:r>
        <w:rPr>
          <w:rFonts w:hint="eastAsia" w:ascii="仿宋_GB2312" w:hAnsi="仿宋_GB2312" w:eastAsia="仿宋_GB2312" w:cs="仿宋_GB2312"/>
          <w:sz w:val="32"/>
          <w:szCs w:val="32"/>
          <w:lang w:val="en-US" w:eastAsia="zh-CN"/>
        </w:rPr>
        <w:t>各主管部门负责汇总各行政事业单位</w:t>
      </w:r>
      <w:r>
        <w:rPr>
          <w:rFonts w:hint="eastAsia" w:ascii="仿宋_GB2312" w:hAnsi="仿宋_GB2312" w:eastAsia="仿宋_GB2312" w:cs="仿宋_GB2312"/>
          <w:color w:val="auto"/>
          <w:sz w:val="32"/>
          <w:szCs w:val="32"/>
          <w:lang w:val="en-US" w:eastAsia="zh-CN"/>
        </w:rPr>
        <w:t>及下属国有企业</w:t>
      </w:r>
    </w:p>
    <w:p>
      <w:pPr>
        <w:pStyle w:val="2"/>
        <w:ind w:left="0" w:leftChars="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房租减免工作进度情况并于每日10:30前填报截至当日进展情况（若当日数据无新增，请发送“无”）；若无主管部门由单位直接报送房租减免工作进度情况，并于每日10:30前通过邮箱报送（附件2、3电子文档及盖章扫描件）县财政局国有资产管理科。</w:t>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sz w:val="32"/>
          <w:szCs w:val="32"/>
          <w:lang w:val="en-US" w:eastAsia="zh-CN"/>
        </w:rPr>
        <w:t>联系人：高广益 联系电</w:t>
      </w:r>
      <w:r>
        <w:rPr>
          <w:rFonts w:hint="eastAsia" w:ascii="仿宋_GB2312" w:hAnsi="仿宋_GB2312" w:eastAsia="仿宋_GB2312" w:cs="仿宋_GB2312"/>
          <w:spacing w:val="-17"/>
          <w:sz w:val="32"/>
          <w:szCs w:val="32"/>
          <w:lang w:val="en-US" w:eastAsia="zh-CN"/>
        </w:rPr>
        <w:t>话：13989782055</w:t>
      </w:r>
      <w:r>
        <w:rPr>
          <w:rFonts w:hint="eastAsia" w:ascii="仿宋_GB2312" w:hAnsi="仿宋_GB2312" w:eastAsia="仿宋_GB2312" w:cs="仿宋_GB2312"/>
          <w:kern w:val="2"/>
          <w:sz w:val="32"/>
          <w:szCs w:val="32"/>
          <w:lang w:val="en-US" w:eastAsia="zh-CN" w:bidi="ar-SA"/>
        </w:rPr>
        <w:t>机关网：692055 邮箱：Yongjiazichan@163.com）</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五、其他事项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对于所属</w:t>
      </w:r>
      <w:r>
        <w:rPr>
          <w:rFonts w:hint="eastAsia" w:ascii="仿宋_GB2312" w:hAnsi="仿宋_GB2312" w:eastAsia="仿宋_GB2312" w:cs="仿宋_GB2312"/>
          <w:sz w:val="32"/>
          <w:szCs w:val="32"/>
        </w:rPr>
        <w:t>股权多元化</w:t>
      </w:r>
      <w:r>
        <w:rPr>
          <w:rFonts w:hint="eastAsia" w:ascii="仿宋_GB2312" w:hAnsi="仿宋_GB2312" w:eastAsia="仿宋_GB2312" w:cs="仿宋_GB2312"/>
          <w:sz w:val="32"/>
          <w:szCs w:val="32"/>
          <w:lang w:val="en-US" w:eastAsia="zh-CN"/>
        </w:rPr>
        <w:t>国有</w:t>
      </w:r>
      <w:r>
        <w:rPr>
          <w:rFonts w:hint="eastAsia" w:ascii="仿宋_GB2312" w:hAnsi="仿宋_GB2312" w:eastAsia="仿宋_GB2312" w:cs="仿宋_GB2312"/>
          <w:sz w:val="32"/>
          <w:szCs w:val="32"/>
        </w:rPr>
        <w:t>企业要积极沟通协调，争取广大中小股东的理解支持，在履行规范的内部决策流程后对租金予以减免。</w:t>
      </w:r>
      <w:r>
        <w:rPr>
          <w:rFonts w:hint="eastAsia" w:ascii="仿宋_GB2312" w:hAnsi="仿宋_GB2312" w:eastAsia="仿宋_GB2312" w:cs="仿宋_GB2312"/>
          <w:sz w:val="32"/>
          <w:szCs w:val="32"/>
          <w:lang w:eastAsia="zh-CN"/>
        </w:rPr>
        <w:t>对于所属子企业因落实减租政策导致资金困难的，上级</w:t>
      </w:r>
      <w:r>
        <w:rPr>
          <w:rFonts w:hint="eastAsia" w:ascii="仿宋_GB2312" w:hAnsi="仿宋_GB2312" w:eastAsia="仿宋_GB2312" w:cs="仿宋_GB2312"/>
          <w:sz w:val="32"/>
          <w:szCs w:val="32"/>
          <w:lang w:val="en-US" w:eastAsia="zh-CN"/>
        </w:rPr>
        <w:t>国有</w:t>
      </w:r>
      <w:r>
        <w:rPr>
          <w:rFonts w:hint="eastAsia" w:ascii="仿宋_GB2312" w:hAnsi="仿宋_GB2312" w:eastAsia="仿宋_GB2312" w:cs="仿宋_GB2312"/>
          <w:sz w:val="32"/>
          <w:szCs w:val="32"/>
          <w:lang w:eastAsia="zh-CN"/>
        </w:rPr>
        <w:t>企业或</w:t>
      </w:r>
      <w:r>
        <w:rPr>
          <w:rFonts w:hint="eastAsia" w:ascii="仿宋_GB2312" w:hAnsi="仿宋_GB2312" w:eastAsia="仿宋_GB2312" w:cs="仿宋_GB2312"/>
          <w:sz w:val="32"/>
          <w:szCs w:val="32"/>
          <w:lang w:val="en-US" w:eastAsia="zh-CN"/>
        </w:rPr>
        <w:t>国企</w:t>
      </w:r>
      <w:r>
        <w:rPr>
          <w:rFonts w:hint="eastAsia" w:ascii="仿宋_GB2312" w:hAnsi="仿宋_GB2312" w:eastAsia="仿宋_GB2312" w:cs="仿宋_GB2312"/>
          <w:sz w:val="32"/>
          <w:szCs w:val="32"/>
          <w:lang w:eastAsia="zh-CN"/>
        </w:rPr>
        <w:t>集团公司应给予资金支持。</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租金减免政策性强、情况复杂，涉及国有资产权益和出租人切身利益，社会关注度高。各部门、各单位实施过程中如遇重大问题，请及时向我局反馈。施行过程中如遇上级法律法规和重大政策变化，按“就高不重复”原则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（三）其他未尽事宜，</w:t>
      </w:r>
      <w:r>
        <w:rPr>
          <w:rFonts w:hint="eastAsia" w:ascii="仿宋_GB2312" w:hAnsi="仿宋_GB2312" w:eastAsia="仿宋_GB2312" w:cs="仿宋_GB2312"/>
          <w:color w:val="auto"/>
          <w:sz w:val="32"/>
          <w:szCs w:val="32"/>
          <w:lang w:val="en-US" w:eastAsia="zh-CN"/>
        </w:rPr>
        <w:t>国有出租方</w:t>
      </w:r>
      <w:r>
        <w:rPr>
          <w:rFonts w:hint="eastAsia" w:ascii="仿宋_GB2312" w:hAnsi="仿宋_GB2312" w:eastAsia="仿宋_GB2312" w:cs="仿宋_GB2312"/>
          <w:sz w:val="32"/>
          <w:szCs w:val="32"/>
          <w:lang w:val="en-US" w:eastAsia="zh-CN"/>
        </w:rPr>
        <w:t>根据实际情况采用“一企一策”、“一事一议”方式予以支持。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附件：1．永嘉县国有房屋租金减免工作专班统计表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2．永嘉县国有房屋租金减免统计表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3．永嘉县</w:t>
      </w:r>
      <w:r>
        <w:rPr>
          <w:rFonts w:hint="eastAsia" w:ascii="仿宋_GB2312" w:hAnsi="仿宋_GB2312" w:eastAsia="仿宋_GB2312" w:cs="仿宋_GB2312"/>
          <w:color w:val="auto"/>
          <w:sz w:val="32"/>
          <w:szCs w:val="32"/>
          <w:lang w:val="en-US" w:eastAsia="zh-CN"/>
        </w:rPr>
        <w:t>国有房屋减免租金</w:t>
      </w:r>
      <w:r>
        <w:rPr>
          <w:rFonts w:hint="eastAsia" w:ascii="仿宋_GB2312" w:hAnsi="仿宋_GB2312" w:eastAsia="仿宋_GB2312" w:cs="仿宋_GB2312"/>
          <w:sz w:val="32"/>
          <w:szCs w:val="32"/>
          <w:lang w:val="en-US" w:eastAsia="zh-CN"/>
        </w:rPr>
        <w:t>进度明细表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 房屋租金减免承诺函</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5. 租金减免补充协议（参考模板）</w:t>
      </w:r>
    </w:p>
    <w:p>
      <w:pPr>
        <w:tabs>
          <w:tab w:val="left" w:pos="7560"/>
        </w:tabs>
        <w:spacing w:line="600" w:lineRule="exact"/>
        <w:ind w:firstLine="5760" w:firstLineChars="1800"/>
        <w:jc w:val="both"/>
        <w:rPr>
          <w:rFonts w:hint="eastAsia" w:eastAsia="仿宋_GB2312"/>
          <w:sz w:val="32"/>
          <w:szCs w:val="22"/>
          <w:lang w:val="en-US" w:eastAsia="zh-CN"/>
        </w:rPr>
      </w:pPr>
      <w:r>
        <w:rPr>
          <w:rFonts w:hint="eastAsia" w:eastAsia="仿宋_GB2312"/>
          <w:sz w:val="32"/>
          <w:szCs w:val="22"/>
          <w:lang w:val="en-US" w:eastAsia="zh-CN"/>
        </w:rPr>
        <w:t>永嘉县财政局</w:t>
      </w:r>
    </w:p>
    <w:p>
      <w:pPr>
        <w:spacing w:line="600" w:lineRule="exact"/>
        <w:ind w:firstLine="5440" w:firstLineChars="1700"/>
        <w:jc w:val="center"/>
        <w:rPr>
          <w:rFonts w:hint="eastAsia" w:eastAsia="仿宋_GB2312"/>
          <w:sz w:val="32"/>
          <w:szCs w:val="22"/>
          <w:lang w:val="en-US" w:eastAsia="zh-CN"/>
        </w:rPr>
      </w:pPr>
      <w:r>
        <w:rPr>
          <w:rFonts w:hint="eastAsia" w:eastAsia="仿宋_GB2312"/>
          <w:sz w:val="32"/>
          <w:szCs w:val="22"/>
          <w:lang w:val="en-US" w:eastAsia="zh-CN"/>
        </w:rPr>
        <w:t>2022年月日</w:t>
      </w:r>
    </w:p>
    <w:p>
      <w:pPr>
        <w:pStyle w:val="2"/>
        <w:ind w:firstLine="640" w:firstLineChars="200"/>
        <w:jc w:val="both"/>
        <w:rPr>
          <w:rStyle w:val="10"/>
          <w:rFonts w:hint="eastAsia" w:ascii="仿宋_GB2312" w:eastAsia="仿宋_GB2312" w:hAnsiTheme="minorHAnsi" w:cstheme="minorBidi"/>
          <w:snapToGrid w:val="0"/>
          <w:kern w:val="0"/>
          <w:sz w:val="32"/>
          <w:szCs w:val="32"/>
          <w:lang w:eastAsia="zh-CN" w:bidi="ar"/>
        </w:rPr>
      </w:pPr>
    </w:p>
    <w:p>
      <w:pPr>
        <w:pStyle w:val="2"/>
        <w:spacing w:line="600" w:lineRule="exact"/>
        <w:jc w:val="both"/>
        <w:rPr>
          <w:rFonts w:hint="eastAsia" w:ascii="楷体_GB2312" w:hAnsi="Times New Roman" w:eastAsia="楷体_GB2312" w:cs="Times New Roman"/>
          <w:bCs/>
          <w:snapToGrid w:val="0"/>
          <w:color w:val="auto"/>
          <w:kern w:val="0"/>
          <w:sz w:val="32"/>
          <w:szCs w:val="32"/>
          <w:lang w:bidi="ar"/>
        </w:rPr>
      </w:pPr>
    </w:p>
    <w:p>
      <w:pPr>
        <w:rPr>
          <w:rFonts w:hint="eastAsia"/>
          <w:color w:val="auto"/>
          <w:lang w:val="en-US" w:eastAsia="zh-CN"/>
        </w:rPr>
        <w:sectPr>
          <w:pgSz w:w="11906" w:h="16838"/>
          <w:pgMar w:top="1440" w:right="1800" w:bottom="1440" w:left="1800" w:header="851" w:footer="992" w:gutter="0"/>
          <w:cols w:space="425" w:num="1"/>
          <w:docGrid w:type="lines" w:linePitch="312" w:charSpace="0"/>
        </w:sectPr>
      </w:pPr>
    </w:p>
    <w:p>
      <w:pPr>
        <w:pStyle w:val="6"/>
        <w:overflowPunct w:val="0"/>
        <w:spacing w:beforeLines="0" w:afterLines="0" w:line="600" w:lineRule="exact"/>
        <w:ind w:firstLine="0" w:firstLineChars="0"/>
        <w:rPr>
          <w:rFonts w:hint="eastAsia" w:ascii="黑体" w:hAnsi="黑体" w:eastAsia="黑体" w:cs="黑体"/>
          <w:lang w:eastAsia="zh-CN"/>
        </w:rPr>
      </w:pPr>
      <w:r>
        <w:rPr>
          <w:rFonts w:hint="eastAsia" w:ascii="黑体" w:hAnsi="黑体" w:eastAsia="黑体" w:cs="黑体"/>
        </w:rPr>
        <w:t>附件</w:t>
      </w:r>
      <w:r>
        <w:rPr>
          <w:rFonts w:hint="eastAsia" w:ascii="黑体" w:hAnsi="黑体" w:eastAsia="黑体" w:cs="黑体"/>
          <w:lang w:val="en-US" w:eastAsia="zh-CN"/>
        </w:rPr>
        <w:t>1</w:t>
      </w:r>
    </w:p>
    <w:p>
      <w:pPr>
        <w:pStyle w:val="6"/>
        <w:overflowPunct w:val="0"/>
        <w:spacing w:beforeLines="0" w:afterLines="0" w:line="600" w:lineRule="exact"/>
        <w:ind w:firstLine="0" w:firstLineChars="0"/>
        <w:jc w:val="center"/>
        <w:rPr>
          <w:rFonts w:ascii="方正小标宋简体" w:hAnsi="仿宋" w:eastAsia="方正小标宋简体" w:cs="方正小标宋简体"/>
          <w:bCs/>
          <w:color w:val="000000"/>
          <w:kern w:val="0"/>
          <w:sz w:val="44"/>
          <w:szCs w:val="24"/>
          <w:lang w:bidi="ar"/>
        </w:rPr>
      </w:pPr>
      <w:r>
        <w:rPr>
          <w:rFonts w:hint="eastAsia" w:ascii="方正小标宋简体" w:hAnsi="仿宋" w:eastAsia="方正小标宋简体" w:cs="方正小标宋简体"/>
          <w:bCs/>
          <w:color w:val="000000"/>
          <w:kern w:val="0"/>
          <w:sz w:val="44"/>
          <w:szCs w:val="24"/>
          <w:lang w:eastAsia="zh-CN" w:bidi="ar"/>
        </w:rPr>
        <w:t>永嘉县</w:t>
      </w:r>
      <w:r>
        <w:rPr>
          <w:rFonts w:hint="eastAsia" w:ascii="方正小标宋简体" w:hAnsi="仿宋" w:eastAsia="方正小标宋简体" w:cs="方正小标宋简体"/>
          <w:bCs/>
          <w:color w:val="000000"/>
          <w:kern w:val="0"/>
          <w:sz w:val="44"/>
          <w:szCs w:val="24"/>
          <w:lang w:bidi="ar"/>
        </w:rPr>
        <w:t>国有房屋租金减免工作专班统计表</w:t>
      </w:r>
    </w:p>
    <w:p>
      <w:pPr>
        <w:pStyle w:val="6"/>
        <w:overflowPunct w:val="0"/>
        <w:spacing w:beforeLines="0" w:afterLines="0" w:line="600" w:lineRule="exact"/>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单位名称（盖章）：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日期：2022年  月  日</w:t>
      </w:r>
    </w:p>
    <w:tbl>
      <w:tblPr>
        <w:tblStyle w:val="7"/>
        <w:tblW w:w="13909" w:type="dxa"/>
        <w:jc w:val="center"/>
        <w:tblLayout w:type="fixed"/>
        <w:tblCellMar>
          <w:top w:w="0" w:type="dxa"/>
          <w:left w:w="0" w:type="dxa"/>
          <w:bottom w:w="0" w:type="dxa"/>
          <w:right w:w="0" w:type="dxa"/>
        </w:tblCellMar>
      </w:tblPr>
      <w:tblGrid>
        <w:gridCol w:w="798"/>
        <w:gridCol w:w="1937"/>
        <w:gridCol w:w="1813"/>
        <w:gridCol w:w="2585"/>
        <w:gridCol w:w="2585"/>
        <w:gridCol w:w="2585"/>
        <w:gridCol w:w="1606"/>
      </w:tblGrid>
      <w:tr>
        <w:tblPrEx>
          <w:tblCellMar>
            <w:top w:w="0" w:type="dxa"/>
            <w:left w:w="0" w:type="dxa"/>
            <w:bottom w:w="0" w:type="dxa"/>
            <w:right w:w="0" w:type="dxa"/>
          </w:tblCellMar>
        </w:tblPrEx>
        <w:trPr>
          <w:trHeight w:val="775" w:hRule="atLeast"/>
          <w:jc w:val="center"/>
        </w:trPr>
        <w:tc>
          <w:tcPr>
            <w:tcW w:w="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 w:val="0"/>
                <w:bCs/>
                <w:color w:val="000000"/>
                <w:sz w:val="24"/>
                <w:szCs w:val="24"/>
              </w:rPr>
            </w:pPr>
            <w:r>
              <w:rPr>
                <w:rFonts w:hint="eastAsia" w:ascii="黑体" w:hAnsi="黑体" w:eastAsia="黑体" w:cs="黑体"/>
                <w:b w:val="0"/>
                <w:bCs/>
                <w:color w:val="000000"/>
                <w:kern w:val="0"/>
                <w:sz w:val="24"/>
                <w:szCs w:val="24"/>
                <w:lang w:bidi="ar"/>
              </w:rPr>
              <w:t>序号</w:t>
            </w:r>
          </w:p>
        </w:tc>
        <w:tc>
          <w:tcPr>
            <w:tcW w:w="1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 w:val="0"/>
                <w:bCs/>
                <w:color w:val="000000"/>
                <w:sz w:val="24"/>
                <w:szCs w:val="24"/>
              </w:rPr>
            </w:pPr>
            <w:r>
              <w:rPr>
                <w:rFonts w:hint="eastAsia" w:ascii="黑体" w:hAnsi="黑体" w:eastAsia="黑体" w:cs="黑体"/>
                <w:b w:val="0"/>
                <w:bCs/>
                <w:color w:val="000000"/>
                <w:kern w:val="0"/>
                <w:sz w:val="24"/>
                <w:szCs w:val="24"/>
                <w:lang w:bidi="ar"/>
              </w:rPr>
              <w:t>专班职务</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 w:val="0"/>
                <w:bCs/>
                <w:color w:val="000000"/>
                <w:sz w:val="24"/>
                <w:szCs w:val="24"/>
              </w:rPr>
            </w:pPr>
            <w:r>
              <w:rPr>
                <w:rFonts w:hint="eastAsia" w:ascii="黑体" w:hAnsi="黑体" w:eastAsia="黑体" w:cs="黑体"/>
                <w:b w:val="0"/>
                <w:bCs/>
                <w:color w:val="000000"/>
                <w:kern w:val="0"/>
                <w:sz w:val="24"/>
                <w:szCs w:val="24"/>
                <w:lang w:bidi="ar"/>
              </w:rPr>
              <w:t>姓名</w:t>
            </w:r>
          </w:p>
        </w:tc>
        <w:tc>
          <w:tcPr>
            <w:tcW w:w="2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 w:val="0"/>
                <w:bCs/>
                <w:color w:val="000000"/>
                <w:sz w:val="24"/>
                <w:szCs w:val="24"/>
              </w:rPr>
            </w:pPr>
            <w:r>
              <w:rPr>
                <w:rFonts w:hint="eastAsia" w:ascii="黑体" w:hAnsi="黑体" w:eastAsia="黑体" w:cs="黑体"/>
                <w:b w:val="0"/>
                <w:bCs/>
                <w:color w:val="000000"/>
                <w:kern w:val="0"/>
                <w:sz w:val="24"/>
                <w:szCs w:val="24"/>
                <w:lang w:bidi="ar"/>
              </w:rPr>
              <w:t>单位职务</w:t>
            </w:r>
          </w:p>
        </w:tc>
        <w:tc>
          <w:tcPr>
            <w:tcW w:w="2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联系电话</w:t>
            </w:r>
          </w:p>
        </w:tc>
        <w:tc>
          <w:tcPr>
            <w:tcW w:w="2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手机</w:t>
            </w:r>
          </w:p>
        </w:tc>
        <w:tc>
          <w:tcPr>
            <w:tcW w:w="1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 w:val="0"/>
                <w:bCs/>
                <w:color w:val="000000"/>
                <w:sz w:val="24"/>
                <w:szCs w:val="24"/>
              </w:rPr>
            </w:pPr>
            <w:r>
              <w:rPr>
                <w:rFonts w:hint="eastAsia" w:ascii="黑体" w:hAnsi="黑体" w:eastAsia="黑体" w:cs="黑体"/>
                <w:b w:val="0"/>
                <w:bCs/>
                <w:color w:val="000000"/>
                <w:kern w:val="0"/>
                <w:sz w:val="24"/>
                <w:szCs w:val="24"/>
                <w:lang w:bidi="ar"/>
              </w:rPr>
              <w:t>备注</w:t>
            </w:r>
          </w:p>
        </w:tc>
      </w:tr>
      <w:tr>
        <w:tblPrEx>
          <w:tblCellMar>
            <w:top w:w="0" w:type="dxa"/>
            <w:left w:w="0" w:type="dxa"/>
            <w:bottom w:w="0" w:type="dxa"/>
            <w:right w:w="0" w:type="dxa"/>
          </w:tblCellMar>
        </w:tblPrEx>
        <w:trPr>
          <w:trHeight w:val="673" w:hRule="atLeast"/>
          <w:jc w:val="center"/>
        </w:trPr>
        <w:tc>
          <w:tcPr>
            <w:tcW w:w="798"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kern w:val="0"/>
                <w:sz w:val="24"/>
                <w:szCs w:val="24"/>
                <w:lang w:bidi="ar"/>
              </w:rPr>
              <w:t>1</w:t>
            </w:r>
          </w:p>
        </w:tc>
        <w:tc>
          <w:tcPr>
            <w:tcW w:w="193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例:组长</w:t>
            </w:r>
          </w:p>
        </w:tc>
        <w:tc>
          <w:tcPr>
            <w:tcW w:w="1813" w:type="dxa"/>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p>
        </w:tc>
        <w:tc>
          <w:tcPr>
            <w:tcW w:w="258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color w:val="000000"/>
                <w:sz w:val="24"/>
                <w:szCs w:val="24"/>
              </w:rPr>
            </w:pPr>
          </w:p>
        </w:tc>
        <w:tc>
          <w:tcPr>
            <w:tcW w:w="258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color w:val="000000"/>
                <w:sz w:val="24"/>
                <w:szCs w:val="24"/>
              </w:rPr>
            </w:pPr>
          </w:p>
        </w:tc>
        <w:tc>
          <w:tcPr>
            <w:tcW w:w="2585" w:type="dxa"/>
            <w:tcBorders>
              <w:top w:val="nil"/>
              <w:left w:val="nil"/>
              <w:bottom w:val="nil"/>
              <w:right w:val="nil"/>
            </w:tcBorders>
            <w:noWrap w:val="0"/>
            <w:tcMar>
              <w:top w:w="15" w:type="dxa"/>
              <w:left w:w="15" w:type="dxa"/>
              <w:right w:w="15" w:type="dxa"/>
            </w:tcMar>
            <w:vAlign w:val="center"/>
          </w:tcPr>
          <w:p>
            <w:pPr>
              <w:jc w:val="left"/>
              <w:rPr>
                <w:rFonts w:hint="eastAsia" w:ascii="仿宋_GB2312" w:hAnsi="仿宋_GB2312" w:eastAsia="仿宋_GB2312" w:cs="仿宋_GB2312"/>
                <w:color w:val="000000"/>
                <w:sz w:val="24"/>
                <w:szCs w:val="24"/>
              </w:rPr>
            </w:pPr>
          </w:p>
        </w:tc>
        <w:tc>
          <w:tcPr>
            <w:tcW w:w="1606"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673" w:hRule="atLeast"/>
          <w:jc w:val="center"/>
        </w:trPr>
        <w:tc>
          <w:tcPr>
            <w:tcW w:w="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kern w:val="0"/>
                <w:sz w:val="24"/>
                <w:szCs w:val="24"/>
                <w:lang w:bidi="ar"/>
              </w:rPr>
              <w:t>2</w:t>
            </w:r>
          </w:p>
        </w:tc>
        <w:tc>
          <w:tcPr>
            <w:tcW w:w="1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副组长</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p>
        </w:tc>
        <w:tc>
          <w:tcPr>
            <w:tcW w:w="2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p>
        </w:tc>
        <w:tc>
          <w:tcPr>
            <w:tcW w:w="2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color w:val="000000"/>
                <w:sz w:val="24"/>
                <w:szCs w:val="24"/>
              </w:rPr>
            </w:pPr>
          </w:p>
        </w:tc>
        <w:tc>
          <w:tcPr>
            <w:tcW w:w="2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color w:val="000000"/>
                <w:sz w:val="24"/>
                <w:szCs w:val="24"/>
              </w:rPr>
            </w:pPr>
          </w:p>
        </w:tc>
        <w:tc>
          <w:tcPr>
            <w:tcW w:w="1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673" w:hRule="atLeast"/>
          <w:jc w:val="center"/>
        </w:trPr>
        <w:tc>
          <w:tcPr>
            <w:tcW w:w="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kern w:val="0"/>
                <w:sz w:val="24"/>
                <w:szCs w:val="24"/>
                <w:lang w:bidi="ar"/>
              </w:rPr>
              <w:t>3</w:t>
            </w:r>
          </w:p>
        </w:tc>
        <w:tc>
          <w:tcPr>
            <w:tcW w:w="1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成员1</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p>
        </w:tc>
        <w:tc>
          <w:tcPr>
            <w:tcW w:w="2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p>
        </w:tc>
        <w:tc>
          <w:tcPr>
            <w:tcW w:w="2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color w:val="000000"/>
                <w:sz w:val="24"/>
                <w:szCs w:val="24"/>
              </w:rPr>
            </w:pPr>
          </w:p>
        </w:tc>
        <w:tc>
          <w:tcPr>
            <w:tcW w:w="2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color w:val="000000"/>
                <w:sz w:val="24"/>
                <w:szCs w:val="24"/>
              </w:rPr>
            </w:pPr>
          </w:p>
        </w:tc>
        <w:tc>
          <w:tcPr>
            <w:tcW w:w="1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673" w:hRule="atLeast"/>
          <w:jc w:val="center"/>
        </w:trPr>
        <w:tc>
          <w:tcPr>
            <w:tcW w:w="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kern w:val="0"/>
                <w:sz w:val="24"/>
                <w:szCs w:val="24"/>
                <w:lang w:bidi="ar"/>
              </w:rPr>
              <w:t>4</w:t>
            </w:r>
          </w:p>
        </w:tc>
        <w:tc>
          <w:tcPr>
            <w:tcW w:w="1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成员2</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p>
        </w:tc>
        <w:tc>
          <w:tcPr>
            <w:tcW w:w="2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p>
        </w:tc>
        <w:tc>
          <w:tcPr>
            <w:tcW w:w="2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color w:val="000000"/>
                <w:sz w:val="24"/>
                <w:szCs w:val="24"/>
              </w:rPr>
            </w:pPr>
          </w:p>
        </w:tc>
        <w:tc>
          <w:tcPr>
            <w:tcW w:w="2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color w:val="000000"/>
                <w:sz w:val="24"/>
                <w:szCs w:val="24"/>
              </w:rPr>
            </w:pPr>
          </w:p>
        </w:tc>
        <w:tc>
          <w:tcPr>
            <w:tcW w:w="1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673" w:hRule="atLeast"/>
          <w:jc w:val="center"/>
        </w:trPr>
        <w:tc>
          <w:tcPr>
            <w:tcW w:w="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kern w:val="0"/>
                <w:sz w:val="24"/>
                <w:szCs w:val="24"/>
                <w:lang w:bidi="ar"/>
              </w:rPr>
              <w:t>5</w:t>
            </w:r>
          </w:p>
        </w:tc>
        <w:tc>
          <w:tcPr>
            <w:tcW w:w="1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联络员</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p>
        </w:tc>
        <w:tc>
          <w:tcPr>
            <w:tcW w:w="2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p>
        </w:tc>
        <w:tc>
          <w:tcPr>
            <w:tcW w:w="2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color w:val="000000"/>
                <w:sz w:val="24"/>
                <w:szCs w:val="24"/>
              </w:rPr>
            </w:pPr>
          </w:p>
        </w:tc>
        <w:tc>
          <w:tcPr>
            <w:tcW w:w="2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color w:val="000000"/>
                <w:sz w:val="24"/>
                <w:szCs w:val="24"/>
              </w:rPr>
            </w:pPr>
          </w:p>
        </w:tc>
        <w:tc>
          <w:tcPr>
            <w:tcW w:w="1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color w:val="000000"/>
                <w:sz w:val="24"/>
                <w:szCs w:val="24"/>
              </w:rPr>
            </w:pPr>
          </w:p>
        </w:tc>
      </w:tr>
    </w:tbl>
    <w:p>
      <w:pPr>
        <w:pStyle w:val="6"/>
        <w:ind w:firstLine="0" w:firstLineChars="0"/>
        <w:rPr>
          <w:rFonts w:hint="eastAsia" w:ascii="楷体_GB2312" w:hAnsi="楷体_GB2312" w:eastAsia="楷体_GB2312" w:cs="楷体_GB2312"/>
          <w:color w:val="000000"/>
          <w:kern w:val="0"/>
          <w:sz w:val="24"/>
          <w:szCs w:val="24"/>
        </w:rPr>
      </w:pPr>
      <w:r>
        <w:rPr>
          <w:rFonts w:hint="eastAsia" w:ascii="仿宋_GB2312" w:hAnsi="仿宋_GB2312" w:eastAsia="仿宋_GB2312" w:cs="仿宋_GB2312"/>
          <w:color w:val="000000"/>
          <w:kern w:val="0"/>
          <w:sz w:val="24"/>
          <w:szCs w:val="24"/>
        </w:rPr>
        <w:t xml:space="preserve">填报人：                      </w:t>
      </w:r>
      <w:r>
        <w:rPr>
          <w:rFonts w:hint="eastAsia" w:ascii="仿宋_GB2312" w:hAnsi="仿宋_GB2312" w:eastAsia="仿宋_GB2312" w:cs="仿宋_GB2312"/>
          <w:color w:val="000000"/>
          <w:kern w:val="0"/>
          <w:sz w:val="24"/>
          <w:szCs w:val="24"/>
          <w:lang w:val="en-US" w:eastAsia="zh-CN"/>
        </w:rPr>
        <w:t xml:space="preserve">            </w:t>
      </w:r>
      <w:r>
        <w:rPr>
          <w:rFonts w:hint="eastAsia" w:ascii="仿宋_GB2312" w:hAnsi="仿宋_GB2312" w:eastAsia="仿宋_GB2312" w:cs="仿宋_GB2312"/>
          <w:color w:val="000000"/>
          <w:kern w:val="0"/>
          <w:sz w:val="24"/>
          <w:szCs w:val="24"/>
        </w:rPr>
        <w:t xml:space="preserve">              联系方式:      </w:t>
      </w:r>
      <w:r>
        <w:rPr>
          <w:rFonts w:hint="eastAsia" w:ascii="楷体_GB2312" w:hAnsi="楷体_GB2312" w:eastAsia="楷体_GB2312" w:cs="楷体_GB2312"/>
          <w:color w:val="000000"/>
          <w:kern w:val="0"/>
          <w:sz w:val="24"/>
          <w:szCs w:val="24"/>
        </w:rPr>
        <w:t xml:space="preserve">                         </w:t>
      </w:r>
    </w:p>
    <w:p>
      <w:pPr>
        <w:pStyle w:val="6"/>
        <w:overflowPunct w:val="0"/>
        <w:spacing w:beforeLines="0" w:afterLines="0" w:line="600" w:lineRule="exact"/>
        <w:ind w:firstLine="0" w:firstLineChars="0"/>
        <w:rPr>
          <w:rFonts w:hint="eastAsia" w:ascii="黑体" w:hAnsi="黑体" w:eastAsia="黑体" w:cs="黑体"/>
        </w:rPr>
      </w:pPr>
    </w:p>
    <w:p>
      <w:pPr>
        <w:pStyle w:val="6"/>
        <w:overflowPunct w:val="0"/>
        <w:spacing w:beforeLines="0" w:afterLines="0" w:line="600" w:lineRule="exact"/>
        <w:ind w:firstLine="0" w:firstLineChars="0"/>
        <w:rPr>
          <w:rFonts w:hint="eastAsia" w:ascii="黑体" w:hAnsi="黑体" w:eastAsia="黑体" w:cs="黑体"/>
        </w:rPr>
      </w:pPr>
    </w:p>
    <w:p>
      <w:pPr>
        <w:pStyle w:val="6"/>
        <w:overflowPunct w:val="0"/>
        <w:spacing w:beforeLines="0" w:afterLines="0" w:line="600" w:lineRule="exact"/>
        <w:ind w:firstLine="0" w:firstLineChars="0"/>
        <w:rPr>
          <w:rFonts w:hint="eastAsia" w:ascii="黑体" w:hAnsi="黑体" w:eastAsia="黑体" w:cs="黑体"/>
        </w:rPr>
      </w:pPr>
    </w:p>
    <w:p>
      <w:pPr>
        <w:pStyle w:val="6"/>
        <w:overflowPunct w:val="0"/>
        <w:spacing w:beforeLines="0" w:afterLines="0" w:line="600" w:lineRule="exact"/>
        <w:ind w:firstLine="0" w:firstLineChars="0"/>
        <w:rPr>
          <w:rFonts w:hint="eastAsia" w:ascii="黑体" w:hAnsi="黑体" w:eastAsia="黑体" w:cs="黑体"/>
          <w:lang w:val="en-US" w:eastAsia="zh-CN"/>
        </w:rPr>
      </w:pPr>
      <w:r>
        <w:rPr>
          <w:rFonts w:hint="eastAsia" w:ascii="黑体" w:hAnsi="黑体" w:eastAsia="黑体" w:cs="黑体"/>
        </w:rPr>
        <w:t>附件</w:t>
      </w:r>
      <w:r>
        <w:rPr>
          <w:rFonts w:hint="eastAsia" w:ascii="黑体" w:hAnsi="黑体" w:eastAsia="黑体" w:cs="黑体"/>
          <w:lang w:val="en-US" w:eastAsia="zh-CN"/>
        </w:rPr>
        <w:t>2</w:t>
      </w:r>
    </w:p>
    <w:p>
      <w:pPr>
        <w:pStyle w:val="6"/>
        <w:overflowPunct w:val="0"/>
        <w:spacing w:beforeLines="0" w:afterLines="0" w:line="600" w:lineRule="exact"/>
        <w:ind w:firstLine="0" w:firstLineChars="0"/>
        <w:jc w:val="center"/>
        <w:rPr>
          <w:rFonts w:hint="eastAsia" w:ascii="方正小标宋简体" w:hAnsi="仿宋" w:eastAsia="方正小标宋简体" w:cs="方正小标宋简体"/>
          <w:bCs/>
          <w:color w:val="000000"/>
          <w:kern w:val="0"/>
          <w:sz w:val="44"/>
          <w:szCs w:val="36"/>
          <w:lang w:bidi="ar"/>
        </w:rPr>
      </w:pPr>
      <w:r>
        <w:rPr>
          <w:rFonts w:hint="eastAsia" w:ascii="方正小标宋简体" w:hAnsi="仿宋" w:eastAsia="方正小标宋简体" w:cs="方正小标宋简体"/>
          <w:bCs/>
          <w:color w:val="000000"/>
          <w:kern w:val="0"/>
          <w:sz w:val="44"/>
          <w:szCs w:val="36"/>
          <w:lang w:eastAsia="zh-CN" w:bidi="ar"/>
        </w:rPr>
        <w:t>永嘉县</w:t>
      </w:r>
      <w:r>
        <w:rPr>
          <w:rFonts w:hint="eastAsia" w:ascii="方正小标宋简体" w:hAnsi="仿宋" w:eastAsia="方正小标宋简体" w:cs="方正小标宋简体"/>
          <w:bCs/>
          <w:color w:val="000000"/>
          <w:kern w:val="0"/>
          <w:sz w:val="44"/>
          <w:szCs w:val="36"/>
          <w:lang w:bidi="ar"/>
        </w:rPr>
        <w:t>国有房屋租金减免统计表</w:t>
      </w:r>
    </w:p>
    <w:p>
      <w:pPr>
        <w:pStyle w:val="6"/>
        <w:overflowPunct w:val="0"/>
        <w:spacing w:beforeLines="0" w:afterLines="0" w:line="600" w:lineRule="exact"/>
        <w:ind w:firstLine="0" w:firstLineChars="0"/>
        <w:jc w:val="center"/>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sz w:val="24"/>
          <w:szCs w:val="24"/>
        </w:rPr>
        <w:t xml:space="preserve">单位名称（盖章）：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日期：2022年  月  日</w:t>
      </w:r>
    </w:p>
    <w:tbl>
      <w:tblPr>
        <w:tblStyle w:val="7"/>
        <w:tblW w:w="14572" w:type="dxa"/>
        <w:jc w:val="center"/>
        <w:tblLayout w:type="fixed"/>
        <w:tblCellMar>
          <w:top w:w="0" w:type="dxa"/>
          <w:left w:w="0" w:type="dxa"/>
          <w:bottom w:w="0" w:type="dxa"/>
          <w:right w:w="0" w:type="dxa"/>
        </w:tblCellMar>
      </w:tblPr>
      <w:tblGrid>
        <w:gridCol w:w="500"/>
        <w:gridCol w:w="337"/>
        <w:gridCol w:w="337"/>
        <w:gridCol w:w="945"/>
        <w:gridCol w:w="915"/>
        <w:gridCol w:w="615"/>
        <w:gridCol w:w="716"/>
        <w:gridCol w:w="716"/>
        <w:gridCol w:w="716"/>
        <w:gridCol w:w="716"/>
        <w:gridCol w:w="716"/>
        <w:gridCol w:w="716"/>
        <w:gridCol w:w="716"/>
        <w:gridCol w:w="716"/>
        <w:gridCol w:w="649"/>
        <w:gridCol w:w="649"/>
        <w:gridCol w:w="649"/>
        <w:gridCol w:w="649"/>
        <w:gridCol w:w="649"/>
        <w:gridCol w:w="650"/>
        <w:gridCol w:w="650"/>
        <w:gridCol w:w="650"/>
      </w:tblGrid>
      <w:tr>
        <w:tblPrEx>
          <w:tblCellMar>
            <w:top w:w="0" w:type="dxa"/>
            <w:left w:w="0" w:type="dxa"/>
            <w:bottom w:w="0" w:type="dxa"/>
            <w:right w:w="0" w:type="dxa"/>
          </w:tblCellMar>
        </w:tblPrEx>
        <w:trPr>
          <w:trHeight w:val="415" w:hRule="atLeast"/>
          <w:jc w:val="center"/>
        </w:trPr>
        <w:tc>
          <w:tcPr>
            <w:tcW w:w="5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color w:val="000000"/>
                <w:sz w:val="24"/>
                <w:szCs w:val="24"/>
              </w:rPr>
            </w:pPr>
            <w:r>
              <w:rPr>
                <w:rFonts w:hint="eastAsia" w:ascii="黑体" w:hAnsi="宋体" w:eastAsia="黑体" w:cs="黑体"/>
                <w:i w:val="0"/>
                <w:iCs w:val="0"/>
                <w:color w:val="000000"/>
                <w:kern w:val="0"/>
                <w:sz w:val="24"/>
                <w:szCs w:val="24"/>
                <w:u w:val="none"/>
                <w:lang w:val="en-US" w:eastAsia="zh-CN" w:bidi="ar"/>
              </w:rPr>
              <w:t>序号</w:t>
            </w:r>
          </w:p>
        </w:tc>
        <w:tc>
          <w:tcPr>
            <w:tcW w:w="674" w:type="dxa"/>
            <w:gridSpan w:val="2"/>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单位</w:t>
            </w:r>
          </w:p>
          <w:p>
            <w:pPr>
              <w:keepNext w:val="0"/>
              <w:keepLines w:val="0"/>
              <w:widowControl/>
              <w:suppressLineNumbers w:val="0"/>
              <w:jc w:val="center"/>
              <w:textAlignment w:val="center"/>
              <w:rPr>
                <w:rFonts w:hint="eastAsia" w:ascii="黑体" w:hAnsi="黑体" w:eastAsia="黑体" w:cs="黑体"/>
                <w:b w:val="0"/>
                <w:bCs/>
                <w:color w:val="000000"/>
                <w:sz w:val="24"/>
                <w:szCs w:val="24"/>
              </w:rPr>
            </w:pPr>
            <w:r>
              <w:rPr>
                <w:rFonts w:hint="eastAsia" w:ascii="黑体" w:hAnsi="宋体" w:eastAsia="黑体" w:cs="黑体"/>
                <w:i w:val="0"/>
                <w:iCs w:val="0"/>
                <w:color w:val="000000"/>
                <w:kern w:val="0"/>
                <w:sz w:val="24"/>
                <w:szCs w:val="24"/>
                <w:u w:val="none"/>
                <w:lang w:val="en-US" w:eastAsia="zh-CN" w:bidi="ar"/>
              </w:rPr>
              <w:t>名称</w:t>
            </w:r>
          </w:p>
        </w:tc>
        <w:tc>
          <w:tcPr>
            <w:tcW w:w="945" w:type="dxa"/>
            <w:vMerge w:val="restar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color w:val="000000"/>
                <w:sz w:val="24"/>
                <w:szCs w:val="24"/>
              </w:rPr>
            </w:pPr>
            <w:r>
              <w:rPr>
                <w:rFonts w:hint="eastAsia" w:ascii="黑体" w:hAnsi="宋体" w:eastAsia="黑体" w:cs="黑体"/>
                <w:i w:val="0"/>
                <w:iCs w:val="0"/>
                <w:color w:val="000000"/>
                <w:kern w:val="0"/>
                <w:sz w:val="24"/>
                <w:szCs w:val="24"/>
                <w:u w:val="none"/>
                <w:lang w:val="en-US" w:eastAsia="zh-CN" w:bidi="ar"/>
              </w:rPr>
              <w:t>统计报送截至时间</w:t>
            </w:r>
          </w:p>
        </w:tc>
        <w:tc>
          <w:tcPr>
            <w:tcW w:w="915" w:type="dxa"/>
            <w:vMerge w:val="restar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color w:val="000000"/>
                <w:sz w:val="24"/>
                <w:szCs w:val="24"/>
              </w:rPr>
            </w:pPr>
            <w:r>
              <w:rPr>
                <w:rFonts w:hint="eastAsia" w:ascii="黑体" w:hAnsi="宋体" w:eastAsia="黑体" w:cs="黑体"/>
                <w:i w:val="0"/>
                <w:iCs w:val="0"/>
                <w:color w:val="000000"/>
                <w:kern w:val="0"/>
                <w:sz w:val="24"/>
                <w:szCs w:val="24"/>
                <w:u w:val="none"/>
                <w:lang w:val="en-US" w:eastAsia="zh-CN" w:bidi="ar"/>
              </w:rPr>
              <w:t>疫情中高风险区(是/否)</w:t>
            </w:r>
          </w:p>
        </w:tc>
        <w:tc>
          <w:tcPr>
            <w:tcW w:w="615" w:type="dxa"/>
            <w:vMerge w:val="restar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color w:val="000000"/>
                <w:sz w:val="24"/>
                <w:szCs w:val="24"/>
              </w:rPr>
            </w:pPr>
            <w:r>
              <w:rPr>
                <w:rFonts w:hint="eastAsia" w:ascii="黑体" w:hAnsi="宋体" w:eastAsia="黑体" w:cs="黑体"/>
                <w:i w:val="0"/>
                <w:iCs w:val="0"/>
                <w:color w:val="000000"/>
                <w:kern w:val="0"/>
                <w:sz w:val="24"/>
                <w:szCs w:val="24"/>
                <w:u w:val="none"/>
                <w:lang w:val="en-US" w:eastAsia="zh-CN" w:bidi="ar"/>
              </w:rPr>
              <w:t>享受减免政策时间</w:t>
            </w:r>
          </w:p>
        </w:tc>
        <w:tc>
          <w:tcPr>
            <w:tcW w:w="5728" w:type="dxa"/>
            <w:gridSpan w:val="8"/>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color w:val="000000"/>
                <w:sz w:val="24"/>
                <w:szCs w:val="24"/>
              </w:rPr>
            </w:pPr>
            <w:r>
              <w:rPr>
                <w:rFonts w:hint="eastAsia" w:ascii="黑体" w:hAnsi="宋体" w:eastAsia="黑体" w:cs="黑体"/>
                <w:i w:val="0"/>
                <w:iCs w:val="0"/>
                <w:color w:val="000000"/>
                <w:kern w:val="0"/>
                <w:sz w:val="24"/>
                <w:szCs w:val="24"/>
                <w:u w:val="none"/>
                <w:lang w:val="en-US" w:eastAsia="zh-CN" w:bidi="ar"/>
              </w:rPr>
              <w:t>应执行减免政策底数</w:t>
            </w:r>
          </w:p>
        </w:tc>
        <w:tc>
          <w:tcPr>
            <w:tcW w:w="5195"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color w:val="000000"/>
                <w:sz w:val="24"/>
                <w:szCs w:val="24"/>
              </w:rPr>
            </w:pPr>
            <w:r>
              <w:rPr>
                <w:rFonts w:hint="eastAsia" w:ascii="黑体" w:hAnsi="宋体" w:eastAsia="黑体" w:cs="黑体"/>
                <w:i w:val="0"/>
                <w:iCs w:val="0"/>
                <w:color w:val="000000"/>
                <w:kern w:val="0"/>
                <w:sz w:val="24"/>
                <w:szCs w:val="24"/>
                <w:u w:val="none"/>
                <w:lang w:val="en-US" w:eastAsia="zh-CN" w:bidi="ar"/>
              </w:rPr>
              <w:t>已执行政策情况</w:t>
            </w:r>
          </w:p>
        </w:tc>
      </w:tr>
      <w:tr>
        <w:tblPrEx>
          <w:tblCellMar>
            <w:top w:w="0" w:type="dxa"/>
            <w:left w:w="0" w:type="dxa"/>
            <w:bottom w:w="0" w:type="dxa"/>
            <w:right w:w="0" w:type="dxa"/>
          </w:tblCellMar>
        </w:tblPrEx>
        <w:trPr>
          <w:trHeight w:val="995" w:hRule="atLeast"/>
          <w:jc w:val="center"/>
        </w:trPr>
        <w:tc>
          <w:tcPr>
            <w:tcW w:w="5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b w:val="0"/>
                <w:bCs/>
                <w:color w:val="000000"/>
                <w:sz w:val="24"/>
                <w:szCs w:val="24"/>
              </w:rPr>
            </w:pPr>
          </w:p>
        </w:tc>
        <w:tc>
          <w:tcPr>
            <w:tcW w:w="674" w:type="dxa"/>
            <w:gridSpan w:val="2"/>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color w:val="000000"/>
                <w:sz w:val="24"/>
                <w:szCs w:val="24"/>
              </w:rPr>
            </w:pPr>
          </w:p>
        </w:tc>
        <w:tc>
          <w:tcPr>
            <w:tcW w:w="945" w:type="dxa"/>
            <w:vMerge w:val="continue"/>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黑体" w:hAnsi="黑体" w:eastAsia="黑体" w:cs="黑体"/>
                <w:b w:val="0"/>
                <w:bCs/>
                <w:color w:val="000000"/>
                <w:sz w:val="24"/>
                <w:szCs w:val="24"/>
              </w:rPr>
            </w:pPr>
          </w:p>
        </w:tc>
        <w:tc>
          <w:tcPr>
            <w:tcW w:w="915" w:type="dxa"/>
            <w:vMerge w:val="continue"/>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黑体" w:hAnsi="黑体" w:eastAsia="黑体" w:cs="黑体"/>
                <w:b w:val="0"/>
                <w:bCs/>
                <w:color w:val="000000"/>
                <w:sz w:val="24"/>
                <w:szCs w:val="24"/>
              </w:rPr>
            </w:pPr>
          </w:p>
        </w:tc>
        <w:tc>
          <w:tcPr>
            <w:tcW w:w="615" w:type="dxa"/>
            <w:vMerge w:val="continue"/>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黑体" w:hAnsi="黑体" w:eastAsia="黑体" w:cs="黑体"/>
                <w:b w:val="0"/>
                <w:bCs/>
                <w:color w:val="000000"/>
                <w:sz w:val="24"/>
                <w:szCs w:val="24"/>
              </w:rPr>
            </w:pPr>
          </w:p>
        </w:tc>
        <w:tc>
          <w:tcPr>
            <w:tcW w:w="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color w:val="000000"/>
                <w:sz w:val="24"/>
                <w:szCs w:val="24"/>
              </w:rPr>
            </w:pPr>
            <w:r>
              <w:rPr>
                <w:rFonts w:hint="eastAsia" w:ascii="黑体" w:hAnsi="宋体" w:eastAsia="黑体" w:cs="黑体"/>
                <w:i w:val="0"/>
                <w:iCs w:val="0"/>
                <w:color w:val="000000"/>
                <w:kern w:val="0"/>
                <w:sz w:val="24"/>
                <w:szCs w:val="24"/>
                <w:u w:val="none"/>
                <w:lang w:val="en-US" w:eastAsia="zh-CN" w:bidi="ar"/>
              </w:rPr>
              <w:t>应减免承租方（户）</w:t>
            </w:r>
          </w:p>
        </w:tc>
        <w:tc>
          <w:tcPr>
            <w:tcW w:w="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color w:val="000000"/>
                <w:sz w:val="24"/>
                <w:szCs w:val="24"/>
              </w:rPr>
            </w:pPr>
            <w:r>
              <w:rPr>
                <w:rFonts w:hint="eastAsia" w:ascii="黑体" w:hAnsi="宋体" w:eastAsia="黑体" w:cs="黑体"/>
                <w:i w:val="0"/>
                <w:iCs w:val="0"/>
                <w:color w:val="000000"/>
                <w:kern w:val="0"/>
                <w:sz w:val="24"/>
                <w:szCs w:val="24"/>
                <w:u w:val="none"/>
                <w:lang w:val="en-US" w:eastAsia="zh-CN" w:bidi="ar"/>
              </w:rPr>
              <w:t>应减免租金（元）</w:t>
            </w:r>
          </w:p>
        </w:tc>
        <w:tc>
          <w:tcPr>
            <w:tcW w:w="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pPr>
            <w:r>
              <w:rPr>
                <w:rFonts w:hint="eastAsia" w:ascii="黑体" w:hAnsi="宋体" w:eastAsia="黑体" w:cs="黑体"/>
                <w:i w:val="0"/>
                <w:iCs w:val="0"/>
                <w:color w:val="000000"/>
                <w:kern w:val="0"/>
                <w:sz w:val="24"/>
                <w:szCs w:val="24"/>
                <w:u w:val="none"/>
                <w:lang w:val="en-US" w:eastAsia="zh-CN" w:bidi="ar"/>
              </w:rPr>
              <w:t>工业企业（户）</w:t>
            </w:r>
          </w:p>
        </w:tc>
        <w:tc>
          <w:tcPr>
            <w:tcW w:w="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Cs/>
                <w:color w:val="000000"/>
                <w:sz w:val="24"/>
                <w:szCs w:val="24"/>
              </w:rPr>
            </w:pPr>
            <w:r>
              <w:rPr>
                <w:rFonts w:hint="eastAsia" w:ascii="黑体" w:hAnsi="宋体" w:eastAsia="黑体" w:cs="黑体"/>
                <w:i w:val="0"/>
                <w:iCs w:val="0"/>
                <w:color w:val="000000"/>
                <w:kern w:val="0"/>
                <w:sz w:val="24"/>
                <w:szCs w:val="24"/>
                <w:u w:val="none"/>
                <w:lang w:val="en-US" w:eastAsia="zh-CN" w:bidi="ar"/>
              </w:rPr>
              <w:t>减免租金（元）</w:t>
            </w:r>
          </w:p>
        </w:tc>
        <w:tc>
          <w:tcPr>
            <w:tcW w:w="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Cs/>
                <w:color w:val="000000"/>
                <w:sz w:val="24"/>
                <w:szCs w:val="24"/>
              </w:rPr>
            </w:pPr>
            <w:r>
              <w:rPr>
                <w:rFonts w:hint="eastAsia" w:ascii="黑体" w:hAnsi="宋体" w:eastAsia="黑体" w:cs="黑体"/>
                <w:i w:val="0"/>
                <w:iCs w:val="0"/>
                <w:color w:val="000000"/>
                <w:kern w:val="0"/>
                <w:sz w:val="24"/>
                <w:szCs w:val="24"/>
                <w:u w:val="none"/>
                <w:lang w:val="en-US" w:eastAsia="zh-CN" w:bidi="ar"/>
              </w:rPr>
              <w:t>非工业小微企业（户）</w:t>
            </w:r>
          </w:p>
        </w:tc>
        <w:tc>
          <w:tcPr>
            <w:tcW w:w="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Cs/>
                <w:color w:val="000000"/>
                <w:sz w:val="24"/>
                <w:szCs w:val="24"/>
              </w:rPr>
            </w:pPr>
            <w:r>
              <w:rPr>
                <w:rFonts w:hint="eastAsia" w:ascii="黑体" w:hAnsi="宋体" w:eastAsia="黑体" w:cs="黑体"/>
                <w:i w:val="0"/>
                <w:iCs w:val="0"/>
                <w:color w:val="000000"/>
                <w:kern w:val="0"/>
                <w:sz w:val="24"/>
                <w:szCs w:val="24"/>
                <w:u w:val="none"/>
                <w:lang w:val="en-US" w:eastAsia="zh-CN" w:bidi="ar"/>
              </w:rPr>
              <w:t>减免租金（元）</w:t>
            </w:r>
          </w:p>
        </w:tc>
        <w:tc>
          <w:tcPr>
            <w:tcW w:w="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Cs/>
                <w:color w:val="000000"/>
                <w:sz w:val="24"/>
                <w:szCs w:val="24"/>
              </w:rPr>
            </w:pPr>
            <w:r>
              <w:rPr>
                <w:rFonts w:hint="eastAsia" w:ascii="黑体" w:hAnsi="宋体" w:eastAsia="黑体" w:cs="黑体"/>
                <w:i w:val="0"/>
                <w:iCs w:val="0"/>
                <w:color w:val="000000"/>
                <w:kern w:val="0"/>
                <w:sz w:val="24"/>
                <w:szCs w:val="24"/>
                <w:u w:val="none"/>
                <w:lang w:val="en-US" w:eastAsia="zh-CN" w:bidi="ar"/>
              </w:rPr>
              <w:t>个体工商户（户）</w:t>
            </w:r>
          </w:p>
        </w:tc>
        <w:tc>
          <w:tcPr>
            <w:tcW w:w="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pPr>
            <w:r>
              <w:rPr>
                <w:rFonts w:hint="eastAsia" w:ascii="黑体" w:hAnsi="宋体" w:eastAsia="黑体" w:cs="黑体"/>
                <w:i w:val="0"/>
                <w:iCs w:val="0"/>
                <w:color w:val="000000"/>
                <w:kern w:val="0"/>
                <w:sz w:val="24"/>
                <w:szCs w:val="24"/>
                <w:u w:val="none"/>
                <w:lang w:val="en-US" w:eastAsia="zh-CN" w:bidi="ar"/>
              </w:rPr>
              <w:t>减免租金（元）</w:t>
            </w:r>
          </w:p>
        </w:tc>
        <w:tc>
          <w:tcPr>
            <w:tcW w:w="6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color w:val="000000"/>
                <w:sz w:val="24"/>
                <w:szCs w:val="24"/>
              </w:rPr>
            </w:pPr>
            <w:r>
              <w:rPr>
                <w:rFonts w:hint="eastAsia" w:ascii="黑体" w:hAnsi="宋体" w:eastAsia="黑体" w:cs="黑体"/>
                <w:i w:val="0"/>
                <w:iCs w:val="0"/>
                <w:color w:val="000000"/>
                <w:kern w:val="0"/>
                <w:sz w:val="24"/>
                <w:szCs w:val="24"/>
                <w:u w:val="none"/>
                <w:lang w:val="en-US" w:eastAsia="zh-CN" w:bidi="ar"/>
              </w:rPr>
              <w:t>已减免承租方（户）</w:t>
            </w:r>
          </w:p>
        </w:tc>
        <w:tc>
          <w:tcPr>
            <w:tcW w:w="6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color w:val="000000"/>
                <w:sz w:val="24"/>
                <w:szCs w:val="24"/>
              </w:rPr>
            </w:pPr>
            <w:r>
              <w:rPr>
                <w:rFonts w:hint="eastAsia" w:ascii="黑体" w:hAnsi="宋体" w:eastAsia="黑体" w:cs="黑体"/>
                <w:i w:val="0"/>
                <w:iCs w:val="0"/>
                <w:color w:val="000000"/>
                <w:kern w:val="0"/>
                <w:sz w:val="24"/>
                <w:szCs w:val="24"/>
                <w:u w:val="none"/>
                <w:lang w:val="en-US" w:eastAsia="zh-CN" w:bidi="ar"/>
              </w:rPr>
              <w:t>已减免租金（元）</w:t>
            </w:r>
          </w:p>
        </w:tc>
        <w:tc>
          <w:tcPr>
            <w:tcW w:w="6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Cs/>
                <w:color w:val="000000"/>
                <w:sz w:val="24"/>
                <w:szCs w:val="24"/>
              </w:rPr>
            </w:pPr>
            <w:r>
              <w:rPr>
                <w:rFonts w:hint="eastAsia" w:ascii="黑体" w:hAnsi="宋体" w:eastAsia="黑体" w:cs="黑体"/>
                <w:i w:val="0"/>
                <w:iCs w:val="0"/>
                <w:color w:val="000000"/>
                <w:kern w:val="0"/>
                <w:sz w:val="24"/>
                <w:szCs w:val="24"/>
                <w:u w:val="none"/>
                <w:lang w:val="en-US" w:eastAsia="zh-CN" w:bidi="ar"/>
              </w:rPr>
              <w:t>工业企业（户）</w:t>
            </w:r>
          </w:p>
        </w:tc>
        <w:tc>
          <w:tcPr>
            <w:tcW w:w="6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Cs/>
                <w:color w:val="000000"/>
                <w:sz w:val="24"/>
                <w:szCs w:val="24"/>
              </w:rPr>
            </w:pPr>
            <w:r>
              <w:rPr>
                <w:rFonts w:hint="eastAsia" w:ascii="黑体" w:hAnsi="宋体" w:eastAsia="黑体" w:cs="黑体"/>
                <w:i w:val="0"/>
                <w:iCs w:val="0"/>
                <w:color w:val="000000"/>
                <w:kern w:val="0"/>
                <w:sz w:val="24"/>
                <w:szCs w:val="24"/>
                <w:u w:val="none"/>
                <w:lang w:val="en-US" w:eastAsia="zh-CN" w:bidi="ar"/>
              </w:rPr>
              <w:t>减免租金（元）</w:t>
            </w:r>
          </w:p>
        </w:tc>
        <w:tc>
          <w:tcPr>
            <w:tcW w:w="6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pPr>
            <w:r>
              <w:rPr>
                <w:rFonts w:hint="eastAsia" w:ascii="黑体" w:hAnsi="宋体" w:eastAsia="黑体" w:cs="黑体"/>
                <w:i w:val="0"/>
                <w:iCs w:val="0"/>
                <w:color w:val="000000"/>
                <w:kern w:val="0"/>
                <w:sz w:val="24"/>
                <w:szCs w:val="24"/>
                <w:u w:val="none"/>
                <w:lang w:val="en-US" w:eastAsia="zh-CN" w:bidi="ar"/>
              </w:rPr>
              <w:t>非工业小微企业（户）</w:t>
            </w: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Cs/>
                <w:color w:val="000000"/>
                <w:sz w:val="24"/>
                <w:szCs w:val="24"/>
              </w:rPr>
            </w:pPr>
            <w:r>
              <w:rPr>
                <w:rFonts w:hint="eastAsia" w:ascii="黑体" w:hAnsi="宋体" w:eastAsia="黑体" w:cs="黑体"/>
                <w:i w:val="0"/>
                <w:iCs w:val="0"/>
                <w:color w:val="000000"/>
                <w:kern w:val="0"/>
                <w:sz w:val="24"/>
                <w:szCs w:val="24"/>
                <w:u w:val="none"/>
                <w:lang w:val="en-US" w:eastAsia="zh-CN" w:bidi="ar"/>
              </w:rPr>
              <w:t>减免租金（元）</w:t>
            </w: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Cs/>
                <w:color w:val="000000"/>
                <w:sz w:val="24"/>
                <w:szCs w:val="24"/>
              </w:rPr>
            </w:pPr>
            <w:r>
              <w:rPr>
                <w:rFonts w:hint="eastAsia" w:ascii="黑体" w:hAnsi="宋体" w:eastAsia="黑体" w:cs="黑体"/>
                <w:i w:val="0"/>
                <w:iCs w:val="0"/>
                <w:color w:val="000000"/>
                <w:kern w:val="0"/>
                <w:sz w:val="24"/>
                <w:szCs w:val="24"/>
                <w:u w:val="none"/>
                <w:lang w:val="en-US" w:eastAsia="zh-CN" w:bidi="ar"/>
              </w:rPr>
              <w:t>个体工商户（户）</w:t>
            </w: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pPr>
            <w:r>
              <w:rPr>
                <w:rFonts w:hint="eastAsia" w:ascii="黑体" w:hAnsi="宋体" w:eastAsia="黑体" w:cs="黑体"/>
                <w:i w:val="0"/>
                <w:iCs w:val="0"/>
                <w:color w:val="000000"/>
                <w:kern w:val="0"/>
                <w:sz w:val="24"/>
                <w:szCs w:val="24"/>
                <w:u w:val="none"/>
                <w:lang w:val="en-US" w:eastAsia="zh-CN" w:bidi="ar"/>
              </w:rPr>
              <w:t>减免租金（元）</w:t>
            </w:r>
          </w:p>
        </w:tc>
      </w:tr>
      <w:tr>
        <w:tblPrEx>
          <w:tblCellMar>
            <w:top w:w="0" w:type="dxa"/>
            <w:left w:w="0" w:type="dxa"/>
            <w:bottom w:w="0" w:type="dxa"/>
            <w:right w:w="0" w:type="dxa"/>
          </w:tblCellMar>
        </w:tblPrEx>
        <w:trPr>
          <w:trHeight w:val="345" w:hRule="atLeast"/>
          <w:jc w:val="center"/>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p>
        </w:tc>
        <w:tc>
          <w:tcPr>
            <w:tcW w:w="6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FF0000"/>
                <w:sz w:val="24"/>
                <w:szCs w:val="24"/>
              </w:rPr>
            </w:pPr>
          </w:p>
        </w:tc>
        <w:tc>
          <w:tcPr>
            <w:tcW w:w="945" w:type="dxa"/>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p>
        </w:tc>
        <w:tc>
          <w:tcPr>
            <w:tcW w:w="915" w:type="dxa"/>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p>
        </w:tc>
        <w:tc>
          <w:tcPr>
            <w:tcW w:w="615" w:type="dxa"/>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p>
        </w:tc>
        <w:tc>
          <w:tcPr>
            <w:tcW w:w="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仿宋_GB2312" w:hAnsi="仿宋_GB2312" w:eastAsia="仿宋_GB2312" w:cs="仿宋_GB2312"/>
                <w:color w:val="000000"/>
                <w:sz w:val="24"/>
                <w:szCs w:val="24"/>
              </w:rPr>
            </w:pPr>
          </w:p>
        </w:tc>
        <w:tc>
          <w:tcPr>
            <w:tcW w:w="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仿宋_GB2312" w:hAnsi="仿宋_GB2312" w:eastAsia="仿宋_GB2312" w:cs="仿宋_GB2312"/>
                <w:color w:val="000000"/>
                <w:sz w:val="24"/>
                <w:szCs w:val="24"/>
              </w:rPr>
            </w:pPr>
          </w:p>
        </w:tc>
        <w:tc>
          <w:tcPr>
            <w:tcW w:w="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pPr>
          </w:p>
        </w:tc>
        <w:tc>
          <w:tcPr>
            <w:tcW w:w="716" w:type="dxa"/>
            <w:tcBorders>
              <w:top w:val="nil"/>
              <w:left w:val="nil"/>
              <w:bottom w:val="nil"/>
              <w:right w:val="nil"/>
            </w:tcBorders>
            <w:noWrap w:val="0"/>
            <w:tcMar>
              <w:top w:w="15" w:type="dxa"/>
              <w:left w:w="15" w:type="dxa"/>
              <w:right w:w="15" w:type="dxa"/>
            </w:tcMar>
            <w:vAlign w:val="center"/>
          </w:tcPr>
          <w:p>
            <w:pPr>
              <w:jc w:val="both"/>
              <w:rPr>
                <w:rFonts w:hint="eastAsia" w:ascii="仿宋_GB2312" w:hAnsi="仿宋_GB2312" w:eastAsia="仿宋_GB2312" w:cs="仿宋_GB2312"/>
                <w:color w:val="000000"/>
                <w:sz w:val="24"/>
                <w:szCs w:val="24"/>
              </w:rPr>
            </w:pPr>
          </w:p>
        </w:tc>
        <w:tc>
          <w:tcPr>
            <w:tcW w:w="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color w:val="000000"/>
                <w:sz w:val="24"/>
                <w:szCs w:val="24"/>
              </w:rPr>
            </w:pPr>
          </w:p>
        </w:tc>
        <w:tc>
          <w:tcPr>
            <w:tcW w:w="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仿宋_GB2312" w:hAnsi="仿宋_GB2312" w:eastAsia="仿宋_GB2312" w:cs="仿宋_GB2312"/>
                <w:color w:val="000000"/>
                <w:sz w:val="24"/>
                <w:szCs w:val="24"/>
              </w:rPr>
            </w:pPr>
          </w:p>
        </w:tc>
        <w:tc>
          <w:tcPr>
            <w:tcW w:w="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仿宋_GB2312" w:hAnsi="仿宋_GB2312" w:eastAsia="仿宋_GB2312" w:cs="仿宋_GB2312"/>
                <w:color w:val="000000"/>
                <w:sz w:val="24"/>
                <w:szCs w:val="24"/>
              </w:rPr>
            </w:pPr>
          </w:p>
        </w:tc>
        <w:tc>
          <w:tcPr>
            <w:tcW w:w="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pPr>
          </w:p>
        </w:tc>
        <w:tc>
          <w:tcPr>
            <w:tcW w:w="6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仿宋_GB2312" w:hAnsi="仿宋_GB2312" w:eastAsia="仿宋_GB2312" w:cs="仿宋_GB2312"/>
                <w:color w:val="000000"/>
                <w:sz w:val="24"/>
                <w:szCs w:val="24"/>
              </w:rPr>
            </w:pPr>
          </w:p>
        </w:tc>
        <w:tc>
          <w:tcPr>
            <w:tcW w:w="649" w:type="dxa"/>
            <w:tcBorders>
              <w:top w:val="nil"/>
              <w:left w:val="nil"/>
              <w:bottom w:val="nil"/>
              <w:right w:val="nil"/>
            </w:tcBorders>
            <w:noWrap w:val="0"/>
            <w:tcMar>
              <w:top w:w="15" w:type="dxa"/>
              <w:left w:w="15" w:type="dxa"/>
              <w:right w:w="15" w:type="dxa"/>
            </w:tcMar>
            <w:vAlign w:val="center"/>
          </w:tcPr>
          <w:p>
            <w:pPr>
              <w:jc w:val="right"/>
              <w:rPr>
                <w:rFonts w:hint="eastAsia" w:ascii="仿宋_GB2312" w:hAnsi="仿宋_GB2312" w:eastAsia="仿宋_GB2312" w:cs="仿宋_GB2312"/>
                <w:color w:val="000000"/>
                <w:sz w:val="24"/>
                <w:szCs w:val="24"/>
              </w:rPr>
            </w:pPr>
          </w:p>
        </w:tc>
        <w:tc>
          <w:tcPr>
            <w:tcW w:w="6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仿宋_GB2312" w:hAnsi="仿宋_GB2312" w:eastAsia="仿宋_GB2312" w:cs="仿宋_GB2312"/>
                <w:color w:val="000000"/>
                <w:sz w:val="24"/>
                <w:szCs w:val="24"/>
              </w:rPr>
            </w:pPr>
          </w:p>
        </w:tc>
        <w:tc>
          <w:tcPr>
            <w:tcW w:w="6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仿宋_GB2312" w:hAnsi="仿宋_GB2312" w:eastAsia="仿宋_GB2312" w:cs="仿宋_GB2312"/>
                <w:color w:val="000000"/>
                <w:sz w:val="24"/>
                <w:szCs w:val="24"/>
              </w:rPr>
            </w:pPr>
          </w:p>
        </w:tc>
        <w:tc>
          <w:tcPr>
            <w:tcW w:w="6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仿宋_GB2312" w:hAnsi="仿宋_GB2312" w:eastAsia="仿宋_GB2312" w:cs="仿宋_GB2312"/>
                <w:color w:val="000000"/>
                <w:sz w:val="24"/>
                <w:szCs w:val="24"/>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仿宋_GB2312" w:hAnsi="仿宋_GB2312" w:eastAsia="仿宋_GB2312" w:cs="仿宋_GB2312"/>
                <w:color w:val="000000"/>
                <w:sz w:val="24"/>
                <w:szCs w:val="24"/>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pPr>
          </w:p>
        </w:tc>
      </w:tr>
      <w:tr>
        <w:tblPrEx>
          <w:tblCellMar>
            <w:top w:w="0" w:type="dxa"/>
            <w:left w:w="0" w:type="dxa"/>
            <w:bottom w:w="0" w:type="dxa"/>
            <w:right w:w="0" w:type="dxa"/>
          </w:tblCellMar>
        </w:tblPrEx>
        <w:trPr>
          <w:trHeight w:val="769" w:hRule="atLeast"/>
          <w:jc w:val="center"/>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p>
        </w:tc>
        <w:tc>
          <w:tcPr>
            <w:tcW w:w="6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FF0000"/>
                <w:sz w:val="24"/>
                <w:szCs w:val="24"/>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p>
        </w:tc>
        <w:tc>
          <w:tcPr>
            <w:tcW w:w="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p>
        </w:tc>
        <w:tc>
          <w:tcPr>
            <w:tcW w:w="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仿宋_GB2312" w:hAnsi="仿宋_GB2312" w:eastAsia="仿宋_GB2312" w:cs="仿宋_GB2312"/>
                <w:color w:val="000000"/>
                <w:sz w:val="24"/>
                <w:szCs w:val="24"/>
              </w:rPr>
            </w:pPr>
          </w:p>
        </w:tc>
        <w:tc>
          <w:tcPr>
            <w:tcW w:w="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pPr>
          </w:p>
        </w:tc>
        <w:tc>
          <w:tcPr>
            <w:tcW w:w="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仿宋_GB2312" w:hAnsi="仿宋_GB2312" w:eastAsia="仿宋_GB2312" w:cs="仿宋_GB2312"/>
                <w:color w:val="000000"/>
                <w:sz w:val="24"/>
                <w:szCs w:val="24"/>
              </w:rPr>
            </w:pPr>
          </w:p>
        </w:tc>
        <w:tc>
          <w:tcPr>
            <w:tcW w:w="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仿宋_GB2312" w:hAnsi="仿宋_GB2312" w:eastAsia="仿宋_GB2312" w:cs="仿宋_GB2312"/>
                <w:color w:val="000000"/>
                <w:sz w:val="24"/>
                <w:szCs w:val="24"/>
              </w:rPr>
            </w:pPr>
          </w:p>
        </w:tc>
        <w:tc>
          <w:tcPr>
            <w:tcW w:w="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仿宋_GB2312" w:hAnsi="仿宋_GB2312" w:eastAsia="仿宋_GB2312" w:cs="仿宋_GB2312"/>
                <w:color w:val="000000"/>
                <w:sz w:val="24"/>
                <w:szCs w:val="24"/>
              </w:rPr>
            </w:pPr>
          </w:p>
        </w:tc>
        <w:tc>
          <w:tcPr>
            <w:tcW w:w="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仿宋_GB2312" w:hAnsi="仿宋_GB2312" w:eastAsia="仿宋_GB2312" w:cs="仿宋_GB2312"/>
                <w:color w:val="000000"/>
                <w:sz w:val="24"/>
                <w:szCs w:val="24"/>
              </w:rPr>
            </w:pPr>
          </w:p>
        </w:tc>
        <w:tc>
          <w:tcPr>
            <w:tcW w:w="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pPr>
          </w:p>
        </w:tc>
        <w:tc>
          <w:tcPr>
            <w:tcW w:w="6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仿宋_GB2312" w:hAnsi="仿宋_GB2312" w:eastAsia="仿宋_GB2312" w:cs="仿宋_GB2312"/>
                <w:color w:val="000000"/>
                <w:sz w:val="24"/>
                <w:szCs w:val="24"/>
              </w:rPr>
            </w:pPr>
          </w:p>
        </w:tc>
        <w:tc>
          <w:tcPr>
            <w:tcW w:w="6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仿宋_GB2312" w:hAnsi="仿宋_GB2312" w:eastAsia="仿宋_GB2312" w:cs="仿宋_GB2312"/>
                <w:color w:val="000000"/>
                <w:sz w:val="24"/>
                <w:szCs w:val="24"/>
              </w:rPr>
            </w:pPr>
          </w:p>
        </w:tc>
        <w:tc>
          <w:tcPr>
            <w:tcW w:w="6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仿宋_GB2312" w:hAnsi="仿宋_GB2312" w:eastAsia="仿宋_GB2312" w:cs="仿宋_GB2312"/>
                <w:color w:val="000000"/>
                <w:sz w:val="24"/>
                <w:szCs w:val="24"/>
              </w:rPr>
            </w:pPr>
          </w:p>
        </w:tc>
        <w:tc>
          <w:tcPr>
            <w:tcW w:w="6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仿宋_GB2312" w:hAnsi="仿宋_GB2312" w:eastAsia="仿宋_GB2312" w:cs="仿宋_GB2312"/>
                <w:color w:val="000000"/>
                <w:sz w:val="24"/>
                <w:szCs w:val="24"/>
              </w:rPr>
            </w:pPr>
          </w:p>
        </w:tc>
        <w:tc>
          <w:tcPr>
            <w:tcW w:w="6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仿宋_GB2312" w:hAnsi="仿宋_GB2312" w:eastAsia="仿宋_GB2312" w:cs="仿宋_GB2312"/>
                <w:color w:val="000000"/>
                <w:sz w:val="24"/>
                <w:szCs w:val="24"/>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仿宋_GB2312" w:hAnsi="仿宋_GB2312" w:eastAsia="仿宋_GB2312" w:cs="仿宋_GB2312"/>
                <w:color w:val="000000"/>
                <w:sz w:val="24"/>
                <w:szCs w:val="24"/>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pPr>
          </w:p>
        </w:tc>
      </w:tr>
      <w:tr>
        <w:tblPrEx>
          <w:tblCellMar>
            <w:top w:w="0" w:type="dxa"/>
            <w:left w:w="0" w:type="dxa"/>
            <w:bottom w:w="0" w:type="dxa"/>
            <w:right w:w="0" w:type="dxa"/>
          </w:tblCellMar>
        </w:tblPrEx>
        <w:trPr>
          <w:trHeight w:val="769" w:hRule="atLeast"/>
          <w:jc w:val="center"/>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p>
        </w:tc>
        <w:tc>
          <w:tcPr>
            <w:tcW w:w="6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p>
        </w:tc>
        <w:tc>
          <w:tcPr>
            <w:tcW w:w="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p>
        </w:tc>
        <w:tc>
          <w:tcPr>
            <w:tcW w:w="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仿宋_GB2312" w:hAnsi="仿宋_GB2312" w:eastAsia="仿宋_GB2312" w:cs="仿宋_GB2312"/>
                <w:color w:val="000000"/>
                <w:sz w:val="24"/>
                <w:szCs w:val="24"/>
              </w:rPr>
            </w:pPr>
          </w:p>
        </w:tc>
        <w:tc>
          <w:tcPr>
            <w:tcW w:w="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pPr>
          </w:p>
        </w:tc>
        <w:tc>
          <w:tcPr>
            <w:tcW w:w="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仿宋_GB2312" w:hAnsi="仿宋_GB2312" w:eastAsia="仿宋_GB2312" w:cs="仿宋_GB2312"/>
                <w:color w:val="000000"/>
                <w:sz w:val="24"/>
                <w:szCs w:val="24"/>
              </w:rPr>
            </w:pPr>
          </w:p>
        </w:tc>
        <w:tc>
          <w:tcPr>
            <w:tcW w:w="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仿宋_GB2312" w:hAnsi="仿宋_GB2312" w:eastAsia="仿宋_GB2312" w:cs="仿宋_GB2312"/>
                <w:color w:val="000000"/>
                <w:sz w:val="24"/>
                <w:szCs w:val="24"/>
              </w:rPr>
            </w:pPr>
          </w:p>
        </w:tc>
        <w:tc>
          <w:tcPr>
            <w:tcW w:w="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仿宋_GB2312" w:hAnsi="仿宋_GB2312" w:eastAsia="仿宋_GB2312" w:cs="仿宋_GB2312"/>
                <w:color w:val="000000"/>
                <w:sz w:val="24"/>
                <w:szCs w:val="24"/>
              </w:rPr>
            </w:pPr>
          </w:p>
        </w:tc>
        <w:tc>
          <w:tcPr>
            <w:tcW w:w="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仿宋_GB2312" w:hAnsi="仿宋_GB2312" w:eastAsia="仿宋_GB2312" w:cs="仿宋_GB2312"/>
                <w:color w:val="000000"/>
                <w:sz w:val="24"/>
                <w:szCs w:val="24"/>
              </w:rPr>
            </w:pPr>
          </w:p>
        </w:tc>
        <w:tc>
          <w:tcPr>
            <w:tcW w:w="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pPr>
          </w:p>
        </w:tc>
        <w:tc>
          <w:tcPr>
            <w:tcW w:w="6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仿宋_GB2312" w:hAnsi="仿宋_GB2312" w:eastAsia="仿宋_GB2312" w:cs="仿宋_GB2312"/>
                <w:color w:val="000000"/>
                <w:sz w:val="24"/>
                <w:szCs w:val="24"/>
              </w:rPr>
            </w:pPr>
          </w:p>
        </w:tc>
        <w:tc>
          <w:tcPr>
            <w:tcW w:w="6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仿宋_GB2312" w:hAnsi="仿宋_GB2312" w:eastAsia="仿宋_GB2312" w:cs="仿宋_GB2312"/>
                <w:color w:val="000000"/>
                <w:sz w:val="24"/>
                <w:szCs w:val="24"/>
              </w:rPr>
            </w:pPr>
          </w:p>
        </w:tc>
        <w:tc>
          <w:tcPr>
            <w:tcW w:w="6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仿宋_GB2312" w:hAnsi="仿宋_GB2312" w:eastAsia="仿宋_GB2312" w:cs="仿宋_GB2312"/>
                <w:color w:val="000000"/>
                <w:sz w:val="24"/>
                <w:szCs w:val="24"/>
              </w:rPr>
            </w:pPr>
          </w:p>
        </w:tc>
        <w:tc>
          <w:tcPr>
            <w:tcW w:w="6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仿宋_GB2312" w:hAnsi="仿宋_GB2312" w:eastAsia="仿宋_GB2312" w:cs="仿宋_GB2312"/>
                <w:color w:val="000000"/>
                <w:sz w:val="24"/>
                <w:szCs w:val="24"/>
              </w:rPr>
            </w:pPr>
          </w:p>
        </w:tc>
        <w:tc>
          <w:tcPr>
            <w:tcW w:w="6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仿宋_GB2312" w:hAnsi="仿宋_GB2312" w:eastAsia="仿宋_GB2312" w:cs="仿宋_GB2312"/>
                <w:color w:val="000000"/>
                <w:sz w:val="24"/>
                <w:szCs w:val="24"/>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仿宋_GB2312" w:hAnsi="仿宋_GB2312" w:eastAsia="仿宋_GB2312" w:cs="仿宋_GB2312"/>
                <w:color w:val="000000"/>
                <w:sz w:val="24"/>
                <w:szCs w:val="24"/>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pPr>
          </w:p>
        </w:tc>
      </w:tr>
      <w:tr>
        <w:tblPrEx>
          <w:tblCellMar>
            <w:top w:w="0" w:type="dxa"/>
            <w:left w:w="0" w:type="dxa"/>
            <w:bottom w:w="0" w:type="dxa"/>
            <w:right w:w="0" w:type="dxa"/>
          </w:tblCellMar>
        </w:tblPrEx>
        <w:trPr>
          <w:trHeight w:val="769" w:hRule="atLeast"/>
          <w:jc w:val="center"/>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p>
        </w:tc>
        <w:tc>
          <w:tcPr>
            <w:tcW w:w="6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p>
        </w:tc>
        <w:tc>
          <w:tcPr>
            <w:tcW w:w="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p>
        </w:tc>
        <w:tc>
          <w:tcPr>
            <w:tcW w:w="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仿宋_GB2312" w:hAnsi="仿宋_GB2312" w:eastAsia="仿宋_GB2312" w:cs="仿宋_GB2312"/>
                <w:color w:val="000000"/>
                <w:sz w:val="24"/>
                <w:szCs w:val="24"/>
              </w:rPr>
            </w:pPr>
          </w:p>
        </w:tc>
        <w:tc>
          <w:tcPr>
            <w:tcW w:w="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pPr>
          </w:p>
        </w:tc>
        <w:tc>
          <w:tcPr>
            <w:tcW w:w="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仿宋_GB2312" w:hAnsi="仿宋_GB2312" w:eastAsia="仿宋_GB2312" w:cs="仿宋_GB2312"/>
                <w:color w:val="000000"/>
                <w:sz w:val="24"/>
                <w:szCs w:val="24"/>
              </w:rPr>
            </w:pPr>
          </w:p>
        </w:tc>
        <w:tc>
          <w:tcPr>
            <w:tcW w:w="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仿宋_GB2312" w:hAnsi="仿宋_GB2312" w:eastAsia="仿宋_GB2312" w:cs="仿宋_GB2312"/>
                <w:color w:val="000000"/>
                <w:sz w:val="24"/>
                <w:szCs w:val="24"/>
              </w:rPr>
            </w:pPr>
          </w:p>
        </w:tc>
        <w:tc>
          <w:tcPr>
            <w:tcW w:w="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仿宋_GB2312" w:hAnsi="仿宋_GB2312" w:eastAsia="仿宋_GB2312" w:cs="仿宋_GB2312"/>
                <w:color w:val="000000"/>
                <w:sz w:val="24"/>
                <w:szCs w:val="24"/>
              </w:rPr>
            </w:pPr>
          </w:p>
        </w:tc>
        <w:tc>
          <w:tcPr>
            <w:tcW w:w="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仿宋_GB2312" w:hAnsi="仿宋_GB2312" w:eastAsia="仿宋_GB2312" w:cs="仿宋_GB2312"/>
                <w:color w:val="000000"/>
                <w:sz w:val="24"/>
                <w:szCs w:val="24"/>
              </w:rPr>
            </w:pPr>
          </w:p>
        </w:tc>
        <w:tc>
          <w:tcPr>
            <w:tcW w:w="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pPr>
          </w:p>
        </w:tc>
        <w:tc>
          <w:tcPr>
            <w:tcW w:w="6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仿宋_GB2312" w:hAnsi="仿宋_GB2312" w:eastAsia="仿宋_GB2312" w:cs="仿宋_GB2312"/>
                <w:color w:val="000000"/>
                <w:sz w:val="24"/>
                <w:szCs w:val="24"/>
              </w:rPr>
            </w:pPr>
          </w:p>
        </w:tc>
        <w:tc>
          <w:tcPr>
            <w:tcW w:w="6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仿宋_GB2312" w:hAnsi="仿宋_GB2312" w:eastAsia="仿宋_GB2312" w:cs="仿宋_GB2312"/>
                <w:color w:val="000000"/>
                <w:sz w:val="24"/>
                <w:szCs w:val="24"/>
              </w:rPr>
            </w:pPr>
          </w:p>
        </w:tc>
        <w:tc>
          <w:tcPr>
            <w:tcW w:w="6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仿宋_GB2312" w:hAnsi="仿宋_GB2312" w:eastAsia="仿宋_GB2312" w:cs="仿宋_GB2312"/>
                <w:color w:val="000000"/>
                <w:sz w:val="24"/>
                <w:szCs w:val="24"/>
              </w:rPr>
            </w:pPr>
          </w:p>
        </w:tc>
        <w:tc>
          <w:tcPr>
            <w:tcW w:w="6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仿宋_GB2312" w:hAnsi="仿宋_GB2312" w:eastAsia="仿宋_GB2312" w:cs="仿宋_GB2312"/>
                <w:color w:val="000000"/>
                <w:sz w:val="24"/>
                <w:szCs w:val="24"/>
              </w:rPr>
            </w:pPr>
          </w:p>
        </w:tc>
        <w:tc>
          <w:tcPr>
            <w:tcW w:w="6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仿宋_GB2312" w:hAnsi="仿宋_GB2312" w:eastAsia="仿宋_GB2312" w:cs="仿宋_GB2312"/>
                <w:color w:val="000000"/>
                <w:sz w:val="24"/>
                <w:szCs w:val="24"/>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仿宋_GB2312" w:hAnsi="仿宋_GB2312" w:eastAsia="仿宋_GB2312" w:cs="仿宋_GB2312"/>
                <w:color w:val="000000"/>
                <w:sz w:val="24"/>
                <w:szCs w:val="24"/>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pPr>
          </w:p>
        </w:tc>
      </w:tr>
      <w:tr>
        <w:tblPrEx>
          <w:tblCellMar>
            <w:top w:w="0" w:type="dxa"/>
            <w:left w:w="0" w:type="dxa"/>
            <w:bottom w:w="0" w:type="dxa"/>
            <w:right w:w="0" w:type="dxa"/>
          </w:tblCellMar>
        </w:tblPrEx>
        <w:trPr>
          <w:trHeight w:val="414" w:hRule="atLeast"/>
          <w:jc w:val="center"/>
        </w:trPr>
        <w:tc>
          <w:tcPr>
            <w:tcW w:w="3649" w:type="dxa"/>
            <w:gridSpan w:val="6"/>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000000"/>
                <w:sz w:val="24"/>
                <w:szCs w:val="24"/>
              </w:rPr>
            </w:pPr>
            <w:r>
              <w:rPr>
                <w:rFonts w:hint="default" w:ascii="仿宋_GB2312" w:hAnsi="宋体" w:eastAsia="仿宋_GB2312" w:cs="仿宋_GB2312"/>
                <w:i w:val="0"/>
                <w:iCs w:val="0"/>
                <w:color w:val="000000"/>
                <w:kern w:val="0"/>
                <w:sz w:val="24"/>
                <w:szCs w:val="24"/>
                <w:u w:val="none"/>
                <w:lang w:val="en-US" w:eastAsia="zh-CN" w:bidi="ar"/>
              </w:rPr>
              <w:t>合计</w:t>
            </w:r>
          </w:p>
        </w:tc>
        <w:tc>
          <w:tcPr>
            <w:tcW w:w="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Cs/>
                <w:color w:val="000000"/>
                <w:sz w:val="24"/>
                <w:szCs w:val="24"/>
              </w:rPr>
            </w:pPr>
          </w:p>
        </w:tc>
        <w:tc>
          <w:tcPr>
            <w:tcW w:w="716"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both"/>
              <w:rPr>
                <w:rFonts w:hint="eastAsia" w:ascii="仿宋_GB2312" w:hAnsi="仿宋_GB2312" w:eastAsia="仿宋_GB2312" w:cs="仿宋_GB2312"/>
                <w:bCs/>
                <w:color w:val="000000"/>
                <w:sz w:val="24"/>
                <w:szCs w:val="24"/>
              </w:rPr>
            </w:pPr>
          </w:p>
        </w:tc>
        <w:tc>
          <w:tcPr>
            <w:tcW w:w="716"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both"/>
            </w:pPr>
          </w:p>
        </w:tc>
        <w:tc>
          <w:tcPr>
            <w:tcW w:w="716"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both"/>
              <w:rPr>
                <w:rFonts w:hint="eastAsia" w:ascii="仿宋_GB2312" w:hAnsi="仿宋_GB2312" w:eastAsia="仿宋_GB2312" w:cs="仿宋_GB2312"/>
                <w:bCs/>
                <w:color w:val="000000"/>
                <w:sz w:val="24"/>
                <w:szCs w:val="24"/>
              </w:rPr>
            </w:pPr>
          </w:p>
        </w:tc>
        <w:tc>
          <w:tcPr>
            <w:tcW w:w="716"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both"/>
              <w:rPr>
                <w:rFonts w:hint="eastAsia" w:ascii="仿宋_GB2312" w:hAnsi="仿宋_GB2312" w:eastAsia="仿宋_GB2312" w:cs="仿宋_GB2312"/>
                <w:bCs/>
                <w:color w:val="000000"/>
                <w:sz w:val="24"/>
                <w:szCs w:val="24"/>
              </w:rPr>
            </w:pPr>
          </w:p>
        </w:tc>
        <w:tc>
          <w:tcPr>
            <w:tcW w:w="716"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both"/>
              <w:rPr>
                <w:rFonts w:hint="eastAsia" w:ascii="仿宋_GB2312" w:hAnsi="仿宋_GB2312" w:eastAsia="仿宋_GB2312" w:cs="仿宋_GB2312"/>
                <w:bCs/>
                <w:color w:val="000000"/>
                <w:sz w:val="24"/>
                <w:szCs w:val="24"/>
              </w:rPr>
            </w:pPr>
          </w:p>
        </w:tc>
        <w:tc>
          <w:tcPr>
            <w:tcW w:w="716"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both"/>
              <w:rPr>
                <w:rFonts w:hint="eastAsia" w:ascii="仿宋_GB2312" w:hAnsi="仿宋_GB2312" w:eastAsia="仿宋_GB2312" w:cs="仿宋_GB2312"/>
                <w:bCs/>
                <w:color w:val="000000"/>
                <w:sz w:val="24"/>
                <w:szCs w:val="24"/>
              </w:rPr>
            </w:pPr>
          </w:p>
        </w:tc>
        <w:tc>
          <w:tcPr>
            <w:tcW w:w="716"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both"/>
            </w:pPr>
          </w:p>
        </w:tc>
        <w:tc>
          <w:tcPr>
            <w:tcW w:w="649"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right"/>
              <w:rPr>
                <w:rFonts w:hint="eastAsia" w:ascii="仿宋_GB2312" w:hAnsi="仿宋_GB2312" w:eastAsia="仿宋_GB2312" w:cs="仿宋_GB2312"/>
                <w:bCs/>
                <w:color w:val="000000"/>
                <w:sz w:val="24"/>
                <w:szCs w:val="24"/>
              </w:rPr>
            </w:pPr>
          </w:p>
        </w:tc>
        <w:tc>
          <w:tcPr>
            <w:tcW w:w="649"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right"/>
              <w:rPr>
                <w:rFonts w:hint="eastAsia" w:ascii="仿宋_GB2312" w:hAnsi="仿宋_GB2312" w:eastAsia="仿宋_GB2312" w:cs="仿宋_GB2312"/>
                <w:bCs/>
                <w:color w:val="000000"/>
                <w:sz w:val="24"/>
                <w:szCs w:val="24"/>
              </w:rPr>
            </w:pPr>
          </w:p>
        </w:tc>
        <w:tc>
          <w:tcPr>
            <w:tcW w:w="649"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right"/>
              <w:rPr>
                <w:rFonts w:hint="eastAsia" w:ascii="仿宋_GB2312" w:hAnsi="仿宋_GB2312" w:eastAsia="仿宋_GB2312" w:cs="仿宋_GB2312"/>
                <w:bCs/>
                <w:color w:val="000000"/>
                <w:sz w:val="24"/>
                <w:szCs w:val="24"/>
              </w:rPr>
            </w:pPr>
          </w:p>
        </w:tc>
        <w:tc>
          <w:tcPr>
            <w:tcW w:w="649"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right"/>
              <w:rPr>
                <w:rFonts w:hint="eastAsia" w:ascii="仿宋_GB2312" w:hAnsi="仿宋_GB2312" w:eastAsia="仿宋_GB2312" w:cs="仿宋_GB2312"/>
                <w:bCs/>
                <w:color w:val="000000"/>
                <w:sz w:val="24"/>
                <w:szCs w:val="24"/>
              </w:rPr>
            </w:pPr>
          </w:p>
        </w:tc>
        <w:tc>
          <w:tcPr>
            <w:tcW w:w="649"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right"/>
            </w:pPr>
          </w:p>
        </w:tc>
        <w:tc>
          <w:tcPr>
            <w:tcW w:w="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right"/>
              <w:rPr>
                <w:rFonts w:hint="eastAsia" w:ascii="仿宋_GB2312" w:hAnsi="仿宋_GB2312" w:eastAsia="仿宋_GB2312" w:cs="仿宋_GB2312"/>
                <w:bCs/>
                <w:color w:val="000000"/>
                <w:sz w:val="24"/>
                <w:szCs w:val="24"/>
              </w:rPr>
            </w:pPr>
          </w:p>
        </w:tc>
        <w:tc>
          <w:tcPr>
            <w:tcW w:w="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right"/>
              <w:rPr>
                <w:rFonts w:hint="eastAsia" w:ascii="仿宋_GB2312" w:hAnsi="仿宋_GB2312" w:eastAsia="仿宋_GB2312" w:cs="仿宋_GB2312"/>
                <w:color w:val="000000"/>
                <w:sz w:val="24"/>
                <w:szCs w:val="24"/>
              </w:rPr>
            </w:pPr>
          </w:p>
        </w:tc>
        <w:tc>
          <w:tcPr>
            <w:tcW w:w="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right"/>
            </w:pPr>
          </w:p>
        </w:tc>
      </w:tr>
      <w:tr>
        <w:tblPrEx>
          <w:tblCellMar>
            <w:top w:w="0" w:type="dxa"/>
            <w:left w:w="0" w:type="dxa"/>
            <w:bottom w:w="0" w:type="dxa"/>
            <w:right w:w="0" w:type="dxa"/>
          </w:tblCellMar>
        </w:tblPrEx>
        <w:trPr>
          <w:trHeight w:val="560" w:hRule="atLeast"/>
          <w:jc w:val="center"/>
        </w:trPr>
        <w:tc>
          <w:tcPr>
            <w:tcW w:w="83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000000"/>
                <w:sz w:val="24"/>
                <w:szCs w:val="24"/>
              </w:rPr>
            </w:pPr>
            <w:r>
              <w:rPr>
                <w:rFonts w:hint="default" w:ascii="仿宋_GB2312" w:hAnsi="宋体" w:eastAsia="仿宋_GB2312" w:cs="仿宋_GB2312"/>
                <w:i w:val="0"/>
                <w:iCs w:val="0"/>
                <w:color w:val="000000"/>
                <w:kern w:val="0"/>
                <w:sz w:val="24"/>
                <w:szCs w:val="24"/>
                <w:u w:val="none"/>
                <w:lang w:val="en-US" w:eastAsia="zh-CN" w:bidi="ar"/>
              </w:rPr>
              <w:t>备注</w:t>
            </w:r>
          </w:p>
        </w:tc>
        <w:tc>
          <w:tcPr>
            <w:tcW w:w="13735" w:type="dxa"/>
            <w:gridSpan w:val="2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仿宋_GB2312" w:eastAsia="仿宋_GB2312" w:cs="仿宋_GB2312"/>
                <w:bCs/>
                <w:sz w:val="24"/>
                <w:szCs w:val="24"/>
                <w:lang w:val="en-US" w:eastAsia="zh-CN"/>
              </w:rPr>
            </w:pPr>
            <w:r>
              <w:rPr>
                <w:rFonts w:hint="default" w:ascii="仿宋_GB2312" w:hAnsi="宋体" w:eastAsia="仿宋_GB2312" w:cs="仿宋_GB2312"/>
                <w:i w:val="0"/>
                <w:iCs w:val="0"/>
                <w:color w:val="000000"/>
                <w:kern w:val="0"/>
                <w:sz w:val="24"/>
                <w:szCs w:val="24"/>
                <w:u w:val="none"/>
                <w:lang w:val="en-US" w:eastAsia="zh-CN" w:bidi="ar"/>
              </w:rPr>
              <w:t>1．存在疫情中高风险区的，请注明相应减租数据；2．各主管部门、各县属国有企业于每日10:30前将最新数据汇总通过浙政钉反馈；若当日数据无新增，请发送“无”在浙政钉反馈。</w:t>
            </w:r>
          </w:p>
        </w:tc>
      </w:tr>
    </w:tbl>
    <w:p>
      <w:pPr>
        <w:pStyle w:val="6"/>
      </w:pPr>
      <w:r>
        <w:rPr>
          <w:rFonts w:hint="eastAsia" w:ascii="仿宋_GB2312" w:hAnsi="仿宋_GB2312" w:eastAsia="仿宋_GB2312" w:cs="仿宋_GB2312"/>
          <w:color w:val="000000"/>
          <w:kern w:val="0"/>
          <w:sz w:val="24"/>
          <w:szCs w:val="24"/>
        </w:rPr>
        <w:t xml:space="preserve">填报人：                                    联系方式:             </w:t>
      </w:r>
      <w:r>
        <w:rPr>
          <w:rFonts w:hint="eastAsia" w:ascii="楷体_GB2312" w:hAnsi="楷体_GB2312" w:eastAsia="楷体_GB2312" w:cs="楷体_GB2312"/>
          <w:color w:val="000000"/>
          <w:kern w:val="0"/>
          <w:szCs w:val="21"/>
        </w:rPr>
        <w:t xml:space="preserve">      </w:t>
      </w:r>
    </w:p>
    <w:p>
      <w:pPr>
        <w:pStyle w:val="6"/>
        <w:sectPr>
          <w:pgSz w:w="16838" w:h="11906" w:orient="landscape"/>
          <w:pgMar w:top="1531" w:right="1984" w:bottom="1531" w:left="1984" w:header="851" w:footer="1644" w:gutter="0"/>
          <w:pgBorders>
            <w:top w:val="none" w:sz="0" w:space="0"/>
            <w:left w:val="none" w:sz="0" w:space="0"/>
            <w:bottom w:val="none" w:sz="0" w:space="0"/>
            <w:right w:val="none" w:sz="0" w:space="0"/>
          </w:pgBorders>
          <w:cols w:space="720" w:num="1"/>
          <w:rtlGutter w:val="0"/>
          <w:docGrid w:type="lines" w:linePitch="315" w:charSpace="0"/>
        </w:sectPr>
      </w:pPr>
    </w:p>
    <w:p>
      <w:pPr>
        <w:keepNext w:val="0"/>
        <w:keepLines w:val="0"/>
        <w:pageBreakBefore w:val="0"/>
        <w:widowControl w:val="0"/>
        <w:tabs>
          <w:tab w:val="left" w:pos="360"/>
        </w:tabs>
        <w:kinsoku/>
        <w:wordWrap/>
        <w:overflowPunct/>
        <w:topLinePunct w:val="0"/>
        <w:autoSpaceDE/>
        <w:autoSpaceDN/>
        <w:bidi w:val="0"/>
        <w:adjustRightInd/>
        <w:snapToGrid/>
        <w:spacing w:line="20" w:lineRule="exact"/>
        <w:ind w:firstLine="280" w:firstLineChars="100"/>
        <w:textAlignment w:val="auto"/>
        <w:rPr>
          <w:rFonts w:hint="eastAsia" w:ascii="仿宋_GB2312" w:eastAsia="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default" w:ascii="黑体" w:hAnsi="黑体" w:eastAsia="黑体" w:cs="黑体"/>
          <w:spacing w:val="-4"/>
          <w:kern w:val="2"/>
          <w:sz w:val="32"/>
          <w:szCs w:val="24"/>
          <w:lang w:val="en-US" w:eastAsia="zh-CN" w:bidi="ar-SA"/>
        </w:rPr>
      </w:pPr>
      <w:r>
        <w:rPr>
          <w:rFonts w:hint="eastAsia" w:ascii="黑体" w:hAnsi="黑体" w:eastAsia="黑体" w:cs="黑体"/>
          <w:spacing w:val="-4"/>
          <w:kern w:val="2"/>
          <w:sz w:val="32"/>
          <w:szCs w:val="24"/>
          <w:lang w:val="en-US" w:eastAsia="zh-CN" w:bidi="ar-SA"/>
        </w:rPr>
        <w:t>附件3</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黑体" w:eastAsia="黑体"/>
          <w:sz w:val="44"/>
          <w:szCs w:val="44"/>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永嘉县国有房屋减免租金进度明细表</w:t>
      </w:r>
    </w:p>
    <w:tbl>
      <w:tblPr>
        <w:tblStyle w:val="7"/>
        <w:tblW w:w="15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1137"/>
        <w:gridCol w:w="856"/>
        <w:gridCol w:w="994"/>
        <w:gridCol w:w="1253"/>
        <w:gridCol w:w="986"/>
        <w:gridCol w:w="1120"/>
        <w:gridCol w:w="815"/>
        <w:gridCol w:w="967"/>
        <w:gridCol w:w="1567"/>
        <w:gridCol w:w="946"/>
        <w:gridCol w:w="1596"/>
        <w:gridCol w:w="998"/>
        <w:gridCol w:w="762"/>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488" w:type="dxa"/>
            <w:tcBorders>
              <w:tl2br w:val="nil"/>
              <w:tr2bl w:val="nil"/>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序号</w:t>
            </w:r>
          </w:p>
        </w:tc>
        <w:tc>
          <w:tcPr>
            <w:tcW w:w="1137" w:type="dxa"/>
            <w:tcBorders>
              <w:tl2br w:val="nil"/>
              <w:tr2bl w:val="nil"/>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4"/>
                <w:szCs w:val="24"/>
                <w:u w:val="none"/>
                <w:lang w:val="en-US" w:eastAsia="zh-CN" w:bidi="ar"/>
              </w:rPr>
            </w:pPr>
            <w:r>
              <w:rPr>
                <w:rFonts w:hint="eastAsia" w:ascii="黑体" w:hAnsi="黑体" w:eastAsia="黑体" w:cs="黑体"/>
                <w:b w:val="0"/>
                <w:bCs w:val="0"/>
                <w:i w:val="0"/>
                <w:iCs w:val="0"/>
                <w:color w:val="auto"/>
                <w:kern w:val="0"/>
                <w:sz w:val="24"/>
                <w:szCs w:val="24"/>
                <w:u w:val="none"/>
                <w:lang w:val="en-US" w:eastAsia="zh-CN" w:bidi="ar"/>
              </w:rPr>
              <w:t>主管部门、国企</w:t>
            </w:r>
          </w:p>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auto"/>
                <w:kern w:val="0"/>
                <w:sz w:val="24"/>
                <w:szCs w:val="24"/>
                <w:u w:val="none"/>
                <w:lang w:val="en-US" w:eastAsia="zh-CN" w:bidi="ar"/>
              </w:rPr>
              <w:t>集团名称</w:t>
            </w:r>
          </w:p>
        </w:tc>
        <w:tc>
          <w:tcPr>
            <w:tcW w:w="856" w:type="dxa"/>
            <w:tcBorders>
              <w:tl2br w:val="nil"/>
              <w:tr2bl w:val="nil"/>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出租单位</w:t>
            </w:r>
          </w:p>
        </w:tc>
        <w:tc>
          <w:tcPr>
            <w:tcW w:w="994" w:type="dxa"/>
            <w:tcBorders>
              <w:tl2br w:val="nil"/>
              <w:tr2bl w:val="nil"/>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4"/>
                <w:szCs w:val="24"/>
                <w:u w:val="none"/>
                <w:lang w:val="en-US" w:eastAsia="zh-CN" w:bidi="ar"/>
              </w:rPr>
            </w:pPr>
            <w:r>
              <w:rPr>
                <w:rFonts w:hint="eastAsia" w:ascii="黑体" w:hAnsi="黑体" w:eastAsia="黑体" w:cs="黑体"/>
                <w:b w:val="0"/>
                <w:bCs w:val="0"/>
                <w:i w:val="0"/>
                <w:iCs w:val="0"/>
                <w:color w:val="000000"/>
                <w:kern w:val="0"/>
                <w:sz w:val="24"/>
                <w:szCs w:val="24"/>
                <w:u w:val="none"/>
                <w:lang w:val="en-US" w:eastAsia="zh-CN" w:bidi="ar"/>
              </w:rPr>
              <w:t>出租</w:t>
            </w:r>
          </w:p>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4"/>
                <w:szCs w:val="24"/>
                <w:u w:val="none"/>
                <w:lang w:val="en-US" w:eastAsia="zh-CN" w:bidi="ar"/>
              </w:rPr>
            </w:pPr>
            <w:r>
              <w:rPr>
                <w:rFonts w:hint="eastAsia" w:ascii="黑体" w:hAnsi="黑体" w:eastAsia="黑体" w:cs="黑体"/>
                <w:b w:val="0"/>
                <w:bCs w:val="0"/>
                <w:i w:val="0"/>
                <w:iCs w:val="0"/>
                <w:color w:val="000000"/>
                <w:kern w:val="0"/>
                <w:sz w:val="24"/>
                <w:szCs w:val="24"/>
                <w:u w:val="none"/>
                <w:lang w:val="en-US" w:eastAsia="zh-CN" w:bidi="ar"/>
              </w:rPr>
              <w:t>单位</w:t>
            </w:r>
          </w:p>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性质</w:t>
            </w:r>
          </w:p>
        </w:tc>
        <w:tc>
          <w:tcPr>
            <w:tcW w:w="1253" w:type="dxa"/>
            <w:tcBorders>
              <w:tl2br w:val="nil"/>
              <w:tr2bl w:val="nil"/>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土地房产详细地址</w:t>
            </w:r>
          </w:p>
        </w:tc>
        <w:tc>
          <w:tcPr>
            <w:tcW w:w="986" w:type="dxa"/>
            <w:tcBorders>
              <w:tl2br w:val="nil"/>
              <w:tr2bl w:val="nil"/>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4"/>
                <w:szCs w:val="24"/>
                <w:u w:val="none"/>
                <w:lang w:val="en-US" w:eastAsia="zh-CN" w:bidi="ar"/>
              </w:rPr>
            </w:pPr>
            <w:r>
              <w:rPr>
                <w:rFonts w:hint="eastAsia" w:ascii="黑体" w:hAnsi="黑体" w:eastAsia="黑体" w:cs="黑体"/>
                <w:b w:val="0"/>
                <w:bCs w:val="0"/>
                <w:i w:val="0"/>
                <w:iCs w:val="0"/>
                <w:color w:val="000000"/>
                <w:kern w:val="0"/>
                <w:sz w:val="24"/>
                <w:szCs w:val="24"/>
                <w:u w:val="none"/>
                <w:lang w:val="en-US" w:eastAsia="zh-CN" w:bidi="ar"/>
              </w:rPr>
              <w:t>出租</w:t>
            </w:r>
          </w:p>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4"/>
                <w:szCs w:val="24"/>
                <w:u w:val="none"/>
                <w:lang w:val="en-US" w:eastAsia="zh-CN" w:bidi="ar"/>
              </w:rPr>
            </w:pPr>
            <w:r>
              <w:rPr>
                <w:rFonts w:hint="eastAsia" w:ascii="黑体" w:hAnsi="黑体" w:eastAsia="黑体" w:cs="黑体"/>
                <w:b w:val="0"/>
                <w:bCs w:val="0"/>
                <w:i w:val="0"/>
                <w:iCs w:val="0"/>
                <w:color w:val="000000"/>
                <w:kern w:val="0"/>
                <w:sz w:val="24"/>
                <w:szCs w:val="24"/>
                <w:u w:val="none"/>
                <w:lang w:val="en-US" w:eastAsia="zh-CN" w:bidi="ar"/>
              </w:rPr>
              <w:t>面积</w:t>
            </w:r>
          </w:p>
          <w:p>
            <w:pPr>
              <w:keepNext w:val="0"/>
              <w:keepLines w:val="0"/>
              <w:widowControl/>
              <w:suppressLineNumbers w:val="0"/>
              <w:jc w:val="center"/>
              <w:textAlignment w:val="center"/>
              <w:rPr>
                <w:rFonts w:hint="eastAsia" w:ascii="黑体" w:hAnsi="黑体" w:eastAsia="黑体" w:cs="黑体"/>
                <w:b w:val="0"/>
                <w:bCs w:val="0"/>
                <w:i w:val="0"/>
                <w:iCs w:val="0"/>
                <w:color w:val="000000"/>
                <w:kern w:val="2"/>
                <w:sz w:val="24"/>
                <w:szCs w:val="24"/>
                <w:u w:val="none"/>
                <w:lang w:val="en-US" w:eastAsia="zh-CN" w:bidi="ar-SA"/>
              </w:rPr>
            </w:pPr>
            <w:r>
              <w:rPr>
                <w:rFonts w:hint="eastAsia" w:ascii="黑体" w:hAnsi="黑体" w:eastAsia="黑体" w:cs="黑体"/>
                <w:b w:val="0"/>
                <w:bCs w:val="0"/>
                <w:i w:val="0"/>
                <w:iCs w:val="0"/>
                <w:color w:val="000000"/>
                <w:kern w:val="0"/>
                <w:sz w:val="24"/>
                <w:szCs w:val="24"/>
                <w:u w:val="none"/>
                <w:lang w:val="en-US" w:eastAsia="zh-CN" w:bidi="ar"/>
              </w:rPr>
              <w:t>（㎡）</w:t>
            </w:r>
          </w:p>
        </w:tc>
        <w:tc>
          <w:tcPr>
            <w:tcW w:w="1120" w:type="dxa"/>
            <w:tcBorders>
              <w:tl2br w:val="nil"/>
              <w:tr2bl w:val="nil"/>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4"/>
                <w:szCs w:val="24"/>
                <w:u w:val="none"/>
                <w:lang w:val="en-US" w:eastAsia="zh-CN" w:bidi="ar"/>
              </w:rPr>
            </w:pPr>
            <w:r>
              <w:rPr>
                <w:rFonts w:hint="eastAsia" w:ascii="黑体" w:hAnsi="黑体" w:eastAsia="黑体" w:cs="黑体"/>
                <w:b w:val="0"/>
                <w:bCs w:val="0"/>
                <w:i w:val="0"/>
                <w:iCs w:val="0"/>
                <w:color w:val="000000"/>
                <w:kern w:val="0"/>
                <w:sz w:val="24"/>
                <w:szCs w:val="24"/>
                <w:u w:val="none"/>
                <w:lang w:val="en-US" w:eastAsia="zh-CN" w:bidi="ar"/>
              </w:rPr>
              <w:t>出租</w:t>
            </w:r>
          </w:p>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4"/>
                <w:szCs w:val="24"/>
                <w:u w:val="none"/>
                <w:lang w:val="en-US" w:eastAsia="zh-CN" w:bidi="ar"/>
              </w:rPr>
            </w:pPr>
            <w:r>
              <w:rPr>
                <w:rFonts w:hint="eastAsia" w:ascii="黑体" w:hAnsi="黑体" w:eastAsia="黑体" w:cs="黑体"/>
                <w:b w:val="0"/>
                <w:bCs w:val="0"/>
                <w:i w:val="0"/>
                <w:iCs w:val="0"/>
                <w:color w:val="000000"/>
                <w:kern w:val="0"/>
                <w:sz w:val="24"/>
                <w:szCs w:val="24"/>
                <w:u w:val="none"/>
                <w:lang w:val="en-US" w:eastAsia="zh-CN" w:bidi="ar"/>
              </w:rPr>
              <w:t>是否</w:t>
            </w:r>
          </w:p>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经审批</w:t>
            </w:r>
          </w:p>
        </w:tc>
        <w:tc>
          <w:tcPr>
            <w:tcW w:w="815" w:type="dxa"/>
            <w:tcBorders>
              <w:tl2br w:val="nil"/>
              <w:tr2bl w:val="nil"/>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有无转租</w:t>
            </w:r>
          </w:p>
        </w:tc>
        <w:tc>
          <w:tcPr>
            <w:tcW w:w="967" w:type="dxa"/>
            <w:tcBorders>
              <w:tl2br w:val="nil"/>
              <w:tr2bl w:val="nil"/>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4"/>
                <w:szCs w:val="24"/>
                <w:u w:val="none"/>
                <w:lang w:val="en-US" w:eastAsia="zh-CN" w:bidi="ar"/>
              </w:rPr>
            </w:pPr>
            <w:r>
              <w:rPr>
                <w:rFonts w:hint="eastAsia" w:ascii="黑体" w:hAnsi="黑体" w:eastAsia="黑体" w:cs="黑体"/>
                <w:b w:val="0"/>
                <w:bCs w:val="0"/>
                <w:i w:val="0"/>
                <w:iCs w:val="0"/>
                <w:color w:val="000000"/>
                <w:kern w:val="0"/>
                <w:sz w:val="24"/>
                <w:szCs w:val="24"/>
                <w:u w:val="none"/>
                <w:lang w:val="en-US" w:eastAsia="zh-CN" w:bidi="ar"/>
              </w:rPr>
              <w:t>最终</w:t>
            </w:r>
          </w:p>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承租方名称</w:t>
            </w:r>
          </w:p>
        </w:tc>
        <w:tc>
          <w:tcPr>
            <w:tcW w:w="1567" w:type="dxa"/>
            <w:tcBorders>
              <w:tl2br w:val="nil"/>
              <w:tr2bl w:val="nil"/>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4"/>
                <w:szCs w:val="24"/>
                <w:u w:val="none"/>
                <w:lang w:val="en-US" w:eastAsia="zh-CN" w:bidi="ar"/>
              </w:rPr>
            </w:pPr>
            <w:r>
              <w:rPr>
                <w:rFonts w:hint="eastAsia" w:ascii="黑体" w:hAnsi="黑体" w:eastAsia="黑体" w:cs="黑体"/>
                <w:b w:val="0"/>
                <w:bCs w:val="0"/>
                <w:i w:val="0"/>
                <w:iCs w:val="0"/>
                <w:color w:val="000000"/>
                <w:kern w:val="0"/>
                <w:sz w:val="24"/>
                <w:szCs w:val="24"/>
                <w:u w:val="none"/>
                <w:lang w:val="en-US" w:eastAsia="zh-CN" w:bidi="ar"/>
              </w:rPr>
              <w:t>最终承租方统一社会</w:t>
            </w:r>
          </w:p>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信用代码</w:t>
            </w:r>
          </w:p>
        </w:tc>
        <w:tc>
          <w:tcPr>
            <w:tcW w:w="946" w:type="dxa"/>
            <w:tcBorders>
              <w:tl2br w:val="nil"/>
              <w:tr2bl w:val="nil"/>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4"/>
                <w:szCs w:val="24"/>
                <w:u w:val="none"/>
                <w:lang w:val="en-US" w:eastAsia="zh-CN" w:bidi="ar"/>
              </w:rPr>
            </w:pPr>
            <w:r>
              <w:rPr>
                <w:rFonts w:hint="eastAsia" w:ascii="黑体" w:hAnsi="黑体" w:eastAsia="黑体" w:cs="黑体"/>
                <w:b w:val="0"/>
                <w:bCs w:val="0"/>
                <w:i w:val="0"/>
                <w:iCs w:val="0"/>
                <w:color w:val="000000"/>
                <w:kern w:val="0"/>
                <w:sz w:val="24"/>
                <w:szCs w:val="24"/>
                <w:u w:val="none"/>
                <w:lang w:val="en-US" w:eastAsia="zh-CN" w:bidi="ar"/>
              </w:rPr>
              <w:t>最终</w:t>
            </w:r>
          </w:p>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4"/>
                <w:szCs w:val="24"/>
                <w:u w:val="none"/>
                <w:lang w:val="en-US" w:eastAsia="zh-CN" w:bidi="ar"/>
              </w:rPr>
            </w:pPr>
            <w:r>
              <w:rPr>
                <w:rFonts w:hint="eastAsia" w:ascii="黑体" w:hAnsi="黑体" w:eastAsia="黑体" w:cs="黑体"/>
                <w:b w:val="0"/>
                <w:bCs w:val="0"/>
                <w:i w:val="0"/>
                <w:iCs w:val="0"/>
                <w:color w:val="000000"/>
                <w:kern w:val="0"/>
                <w:sz w:val="24"/>
                <w:szCs w:val="24"/>
                <w:u w:val="none"/>
                <w:lang w:val="en-US" w:eastAsia="zh-CN" w:bidi="ar"/>
              </w:rPr>
              <w:t>承租方</w:t>
            </w:r>
          </w:p>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性质</w:t>
            </w:r>
          </w:p>
        </w:tc>
        <w:tc>
          <w:tcPr>
            <w:tcW w:w="1596" w:type="dxa"/>
            <w:tcBorders>
              <w:tl2br w:val="nil"/>
              <w:tr2bl w:val="nil"/>
            </w:tcBorders>
            <w:noWrap w:val="0"/>
            <w:vAlign w:val="center"/>
          </w:tcPr>
          <w:p>
            <w:pPr>
              <w:keepNext w:val="0"/>
              <w:keepLines w:val="0"/>
              <w:widowControl/>
              <w:suppressLineNumbers w:val="0"/>
              <w:jc w:val="center"/>
              <w:textAlignment w:val="center"/>
              <w:rPr>
                <w:rFonts w:hint="default" w:ascii="黑体" w:hAnsi="黑体" w:eastAsia="黑体" w:cs="黑体"/>
                <w:b w:val="0"/>
                <w:bCs w:val="0"/>
                <w:i w:val="0"/>
                <w:iCs w:val="0"/>
                <w:color w:val="000000"/>
                <w:sz w:val="24"/>
                <w:szCs w:val="24"/>
                <w:u w:val="none"/>
                <w:lang w:val="en-US"/>
              </w:rPr>
            </w:pPr>
            <w:r>
              <w:rPr>
                <w:rFonts w:hint="eastAsia" w:ascii="黑体" w:hAnsi="黑体" w:eastAsia="黑体" w:cs="黑体"/>
                <w:b w:val="0"/>
                <w:bCs w:val="0"/>
                <w:i w:val="0"/>
                <w:iCs w:val="0"/>
                <w:color w:val="000000"/>
                <w:kern w:val="0"/>
                <w:sz w:val="24"/>
                <w:szCs w:val="24"/>
                <w:u w:val="none"/>
                <w:lang w:val="en-US" w:eastAsia="zh-CN" w:bidi="ar"/>
              </w:rPr>
              <w:t>2022年二季度实际应交租金(元)</w:t>
            </w:r>
          </w:p>
        </w:tc>
        <w:tc>
          <w:tcPr>
            <w:tcW w:w="998" w:type="dxa"/>
            <w:tcBorders>
              <w:tl2br w:val="nil"/>
              <w:tr2bl w:val="nil"/>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实际减免租金金额（元）</w:t>
            </w:r>
          </w:p>
        </w:tc>
        <w:tc>
          <w:tcPr>
            <w:tcW w:w="762" w:type="dxa"/>
            <w:tcBorders>
              <w:tl2br w:val="nil"/>
              <w:tr2bl w:val="nil"/>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减免方式</w:t>
            </w:r>
          </w:p>
        </w:tc>
        <w:tc>
          <w:tcPr>
            <w:tcW w:w="809" w:type="dxa"/>
            <w:tcBorders>
              <w:tl2br w:val="nil"/>
              <w:tr2bl w:val="nil"/>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exact"/>
          <w:jc w:val="center"/>
        </w:trPr>
        <w:tc>
          <w:tcPr>
            <w:tcW w:w="48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1</w:t>
            </w:r>
          </w:p>
        </w:tc>
        <w:tc>
          <w:tcPr>
            <w:tcW w:w="11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8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9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25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1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8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4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59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7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8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exact"/>
          <w:jc w:val="center"/>
        </w:trPr>
        <w:tc>
          <w:tcPr>
            <w:tcW w:w="48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2</w:t>
            </w:r>
          </w:p>
        </w:tc>
        <w:tc>
          <w:tcPr>
            <w:tcW w:w="11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8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9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25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1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8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4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59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7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8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exact"/>
          <w:jc w:val="center"/>
        </w:trPr>
        <w:tc>
          <w:tcPr>
            <w:tcW w:w="48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3</w:t>
            </w:r>
          </w:p>
        </w:tc>
        <w:tc>
          <w:tcPr>
            <w:tcW w:w="11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8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9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25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1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8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4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59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7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8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exact"/>
          <w:jc w:val="center"/>
        </w:trPr>
        <w:tc>
          <w:tcPr>
            <w:tcW w:w="48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4</w:t>
            </w:r>
          </w:p>
        </w:tc>
        <w:tc>
          <w:tcPr>
            <w:tcW w:w="11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8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9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25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1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8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4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59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7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8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exact"/>
          <w:jc w:val="center"/>
        </w:trPr>
        <w:tc>
          <w:tcPr>
            <w:tcW w:w="48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5</w:t>
            </w:r>
          </w:p>
        </w:tc>
        <w:tc>
          <w:tcPr>
            <w:tcW w:w="11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8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9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25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1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8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4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59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7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8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exact"/>
          <w:jc w:val="center"/>
        </w:trPr>
        <w:tc>
          <w:tcPr>
            <w:tcW w:w="48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6</w:t>
            </w:r>
          </w:p>
        </w:tc>
        <w:tc>
          <w:tcPr>
            <w:tcW w:w="11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8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9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25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1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8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4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59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7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8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exact"/>
          <w:jc w:val="center"/>
        </w:trPr>
        <w:tc>
          <w:tcPr>
            <w:tcW w:w="48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7</w:t>
            </w:r>
          </w:p>
        </w:tc>
        <w:tc>
          <w:tcPr>
            <w:tcW w:w="11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8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9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25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1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8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4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59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7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8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exact"/>
          <w:jc w:val="center"/>
        </w:trPr>
        <w:tc>
          <w:tcPr>
            <w:tcW w:w="48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8</w:t>
            </w:r>
          </w:p>
        </w:tc>
        <w:tc>
          <w:tcPr>
            <w:tcW w:w="11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8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9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25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1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8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4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59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7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8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exact"/>
          <w:jc w:val="center"/>
        </w:trPr>
        <w:tc>
          <w:tcPr>
            <w:tcW w:w="48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9</w:t>
            </w:r>
          </w:p>
        </w:tc>
        <w:tc>
          <w:tcPr>
            <w:tcW w:w="11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8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9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25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1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8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4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59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7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8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exact"/>
          <w:jc w:val="center"/>
        </w:trPr>
        <w:tc>
          <w:tcPr>
            <w:tcW w:w="48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10</w:t>
            </w:r>
          </w:p>
        </w:tc>
        <w:tc>
          <w:tcPr>
            <w:tcW w:w="11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8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9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25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1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8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4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59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7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8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exact"/>
          <w:jc w:val="center"/>
        </w:trPr>
        <w:tc>
          <w:tcPr>
            <w:tcW w:w="48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11</w:t>
            </w:r>
          </w:p>
        </w:tc>
        <w:tc>
          <w:tcPr>
            <w:tcW w:w="11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8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9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25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1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8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4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59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7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8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exact"/>
          <w:jc w:val="center"/>
        </w:trPr>
        <w:tc>
          <w:tcPr>
            <w:tcW w:w="48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12</w:t>
            </w:r>
          </w:p>
        </w:tc>
        <w:tc>
          <w:tcPr>
            <w:tcW w:w="11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8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9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25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1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8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4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59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7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8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exact"/>
          <w:jc w:val="center"/>
        </w:trPr>
        <w:tc>
          <w:tcPr>
            <w:tcW w:w="48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13</w:t>
            </w:r>
          </w:p>
        </w:tc>
        <w:tc>
          <w:tcPr>
            <w:tcW w:w="11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8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9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25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1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8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4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59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7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8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exact"/>
          <w:jc w:val="center"/>
        </w:trPr>
        <w:tc>
          <w:tcPr>
            <w:tcW w:w="48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14</w:t>
            </w:r>
          </w:p>
        </w:tc>
        <w:tc>
          <w:tcPr>
            <w:tcW w:w="11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8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9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25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1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8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4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59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7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8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exact"/>
          <w:jc w:val="center"/>
        </w:trPr>
        <w:tc>
          <w:tcPr>
            <w:tcW w:w="48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15</w:t>
            </w:r>
          </w:p>
        </w:tc>
        <w:tc>
          <w:tcPr>
            <w:tcW w:w="11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8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9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25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1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8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4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59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7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8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exact"/>
          <w:jc w:val="center"/>
        </w:trPr>
        <w:tc>
          <w:tcPr>
            <w:tcW w:w="48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19</w:t>
            </w:r>
          </w:p>
        </w:tc>
        <w:tc>
          <w:tcPr>
            <w:tcW w:w="11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8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9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25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1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8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4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159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9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7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c>
          <w:tcPr>
            <w:tcW w:w="8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b w:val="0"/>
                <w:bCs w:val="0"/>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488" w:type="dxa"/>
            <w:tcBorders>
              <w:tl2br w:val="nil"/>
              <w:tr2bl w:val="nil"/>
            </w:tcBorders>
            <w:noWrap/>
            <w:vAlign w:val="bottom"/>
          </w:tcPr>
          <w:p>
            <w:pPr>
              <w:keepNext w:val="0"/>
              <w:keepLines w:val="0"/>
              <w:widowControl/>
              <w:suppressLineNumbers w:val="0"/>
              <w:jc w:val="left"/>
              <w:textAlignment w:val="bottom"/>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合计</w:t>
            </w:r>
          </w:p>
        </w:tc>
        <w:tc>
          <w:tcPr>
            <w:tcW w:w="1137" w:type="dxa"/>
            <w:tcBorders>
              <w:tl2br w:val="nil"/>
              <w:tr2bl w:val="nil"/>
            </w:tcBorders>
            <w:noWrap/>
            <w:vAlign w:val="bottom"/>
          </w:tcPr>
          <w:p>
            <w:pPr>
              <w:rPr>
                <w:rFonts w:hint="eastAsia" w:ascii="黑体" w:hAnsi="黑体" w:eastAsia="黑体" w:cs="黑体"/>
                <w:b w:val="0"/>
                <w:bCs w:val="0"/>
                <w:i w:val="0"/>
                <w:iCs w:val="0"/>
                <w:color w:val="000000"/>
                <w:sz w:val="24"/>
                <w:szCs w:val="24"/>
                <w:u w:val="none"/>
              </w:rPr>
            </w:pPr>
          </w:p>
        </w:tc>
        <w:tc>
          <w:tcPr>
            <w:tcW w:w="856" w:type="dxa"/>
            <w:tcBorders>
              <w:tl2br w:val="nil"/>
              <w:tr2bl w:val="nil"/>
            </w:tcBorders>
            <w:noWrap/>
            <w:vAlign w:val="bottom"/>
          </w:tcPr>
          <w:p>
            <w:pPr>
              <w:rPr>
                <w:rFonts w:hint="eastAsia" w:ascii="黑体" w:hAnsi="黑体" w:eastAsia="黑体" w:cs="黑体"/>
                <w:b w:val="0"/>
                <w:bCs w:val="0"/>
                <w:i w:val="0"/>
                <w:iCs w:val="0"/>
                <w:color w:val="000000"/>
                <w:sz w:val="24"/>
                <w:szCs w:val="24"/>
                <w:u w:val="none"/>
              </w:rPr>
            </w:pPr>
          </w:p>
        </w:tc>
        <w:tc>
          <w:tcPr>
            <w:tcW w:w="994" w:type="dxa"/>
            <w:tcBorders>
              <w:tl2br w:val="nil"/>
              <w:tr2bl w:val="nil"/>
            </w:tcBorders>
            <w:noWrap/>
            <w:vAlign w:val="bottom"/>
          </w:tcPr>
          <w:p>
            <w:pPr>
              <w:rPr>
                <w:rFonts w:hint="eastAsia" w:ascii="黑体" w:hAnsi="黑体" w:eastAsia="黑体" w:cs="黑体"/>
                <w:b w:val="0"/>
                <w:bCs w:val="0"/>
                <w:i w:val="0"/>
                <w:iCs w:val="0"/>
                <w:color w:val="000000"/>
                <w:sz w:val="24"/>
                <w:szCs w:val="24"/>
                <w:u w:val="none"/>
              </w:rPr>
            </w:pPr>
          </w:p>
        </w:tc>
        <w:tc>
          <w:tcPr>
            <w:tcW w:w="1253" w:type="dxa"/>
            <w:tcBorders>
              <w:tl2br w:val="nil"/>
              <w:tr2bl w:val="nil"/>
            </w:tcBorders>
            <w:noWrap/>
            <w:vAlign w:val="bottom"/>
          </w:tcPr>
          <w:p>
            <w:pPr>
              <w:rPr>
                <w:rFonts w:hint="eastAsia" w:ascii="黑体" w:hAnsi="黑体" w:eastAsia="黑体" w:cs="黑体"/>
                <w:b w:val="0"/>
                <w:bCs w:val="0"/>
                <w:i w:val="0"/>
                <w:iCs w:val="0"/>
                <w:color w:val="000000"/>
                <w:sz w:val="24"/>
                <w:szCs w:val="24"/>
                <w:u w:val="none"/>
              </w:rPr>
            </w:pPr>
          </w:p>
        </w:tc>
        <w:tc>
          <w:tcPr>
            <w:tcW w:w="986" w:type="dxa"/>
            <w:tcBorders>
              <w:tl2br w:val="nil"/>
              <w:tr2bl w:val="nil"/>
            </w:tcBorders>
            <w:noWrap/>
            <w:vAlign w:val="bottom"/>
          </w:tcPr>
          <w:p>
            <w:pPr>
              <w:rPr>
                <w:rFonts w:hint="eastAsia" w:ascii="黑体" w:hAnsi="黑体" w:eastAsia="黑体" w:cs="黑体"/>
                <w:b w:val="0"/>
                <w:bCs w:val="0"/>
                <w:i w:val="0"/>
                <w:iCs w:val="0"/>
                <w:color w:val="000000"/>
                <w:sz w:val="24"/>
                <w:szCs w:val="24"/>
                <w:u w:val="none"/>
              </w:rPr>
            </w:pPr>
          </w:p>
        </w:tc>
        <w:tc>
          <w:tcPr>
            <w:tcW w:w="1120" w:type="dxa"/>
            <w:tcBorders>
              <w:tl2br w:val="nil"/>
              <w:tr2bl w:val="nil"/>
            </w:tcBorders>
            <w:noWrap/>
            <w:vAlign w:val="bottom"/>
          </w:tcPr>
          <w:p>
            <w:pPr>
              <w:rPr>
                <w:rFonts w:hint="eastAsia" w:ascii="黑体" w:hAnsi="黑体" w:eastAsia="黑体" w:cs="黑体"/>
                <w:b w:val="0"/>
                <w:bCs w:val="0"/>
                <w:i w:val="0"/>
                <w:iCs w:val="0"/>
                <w:color w:val="000000"/>
                <w:sz w:val="24"/>
                <w:szCs w:val="24"/>
                <w:u w:val="none"/>
              </w:rPr>
            </w:pPr>
          </w:p>
        </w:tc>
        <w:tc>
          <w:tcPr>
            <w:tcW w:w="815" w:type="dxa"/>
            <w:tcBorders>
              <w:tl2br w:val="nil"/>
              <w:tr2bl w:val="nil"/>
            </w:tcBorders>
            <w:noWrap/>
            <w:vAlign w:val="bottom"/>
          </w:tcPr>
          <w:p>
            <w:pPr>
              <w:rPr>
                <w:rFonts w:hint="eastAsia" w:ascii="黑体" w:hAnsi="黑体" w:eastAsia="黑体" w:cs="黑体"/>
                <w:b w:val="0"/>
                <w:bCs w:val="0"/>
                <w:i w:val="0"/>
                <w:iCs w:val="0"/>
                <w:color w:val="000000"/>
                <w:sz w:val="24"/>
                <w:szCs w:val="24"/>
                <w:u w:val="none"/>
              </w:rPr>
            </w:pPr>
          </w:p>
        </w:tc>
        <w:tc>
          <w:tcPr>
            <w:tcW w:w="967" w:type="dxa"/>
            <w:tcBorders>
              <w:tl2br w:val="nil"/>
              <w:tr2bl w:val="nil"/>
            </w:tcBorders>
            <w:noWrap/>
            <w:vAlign w:val="bottom"/>
          </w:tcPr>
          <w:p>
            <w:pPr>
              <w:rPr>
                <w:rFonts w:hint="eastAsia" w:ascii="黑体" w:hAnsi="黑体" w:eastAsia="黑体" w:cs="黑体"/>
                <w:b w:val="0"/>
                <w:bCs w:val="0"/>
                <w:i w:val="0"/>
                <w:iCs w:val="0"/>
                <w:color w:val="000000"/>
                <w:sz w:val="24"/>
                <w:szCs w:val="24"/>
                <w:u w:val="none"/>
              </w:rPr>
            </w:pPr>
          </w:p>
        </w:tc>
        <w:tc>
          <w:tcPr>
            <w:tcW w:w="1567" w:type="dxa"/>
            <w:tcBorders>
              <w:tl2br w:val="nil"/>
              <w:tr2bl w:val="nil"/>
            </w:tcBorders>
            <w:noWrap/>
            <w:vAlign w:val="bottom"/>
          </w:tcPr>
          <w:p>
            <w:pPr>
              <w:jc w:val="center"/>
              <w:rPr>
                <w:rFonts w:hint="eastAsia" w:ascii="黑体" w:hAnsi="黑体" w:eastAsia="黑体" w:cs="黑体"/>
                <w:b w:val="0"/>
                <w:bCs w:val="0"/>
                <w:i w:val="0"/>
                <w:iCs w:val="0"/>
                <w:color w:val="000000"/>
                <w:sz w:val="24"/>
                <w:szCs w:val="24"/>
                <w:u w:val="none"/>
              </w:rPr>
            </w:pPr>
          </w:p>
        </w:tc>
        <w:tc>
          <w:tcPr>
            <w:tcW w:w="946" w:type="dxa"/>
            <w:tcBorders>
              <w:tl2br w:val="nil"/>
              <w:tr2bl w:val="nil"/>
            </w:tcBorders>
            <w:noWrap/>
            <w:vAlign w:val="bottom"/>
          </w:tcPr>
          <w:p>
            <w:pPr>
              <w:rPr>
                <w:rFonts w:hint="eastAsia" w:ascii="黑体" w:hAnsi="黑体" w:eastAsia="黑体" w:cs="黑体"/>
                <w:b w:val="0"/>
                <w:bCs w:val="0"/>
                <w:i w:val="0"/>
                <w:iCs w:val="0"/>
                <w:color w:val="000000"/>
                <w:sz w:val="24"/>
                <w:szCs w:val="24"/>
                <w:u w:val="none"/>
              </w:rPr>
            </w:pPr>
          </w:p>
        </w:tc>
        <w:tc>
          <w:tcPr>
            <w:tcW w:w="1596" w:type="dxa"/>
            <w:tcBorders>
              <w:tl2br w:val="nil"/>
              <w:tr2bl w:val="nil"/>
            </w:tcBorders>
            <w:noWrap/>
            <w:vAlign w:val="bottom"/>
          </w:tcPr>
          <w:p>
            <w:pPr>
              <w:rPr>
                <w:rFonts w:hint="eastAsia" w:ascii="黑体" w:hAnsi="黑体" w:eastAsia="黑体" w:cs="黑体"/>
                <w:b w:val="0"/>
                <w:bCs w:val="0"/>
                <w:i w:val="0"/>
                <w:iCs w:val="0"/>
                <w:color w:val="000000"/>
                <w:sz w:val="24"/>
                <w:szCs w:val="24"/>
                <w:u w:val="none"/>
              </w:rPr>
            </w:pPr>
          </w:p>
        </w:tc>
        <w:tc>
          <w:tcPr>
            <w:tcW w:w="998" w:type="dxa"/>
            <w:tcBorders>
              <w:tl2br w:val="nil"/>
              <w:tr2bl w:val="nil"/>
            </w:tcBorders>
            <w:noWrap/>
            <w:vAlign w:val="bottom"/>
          </w:tcPr>
          <w:p>
            <w:pPr>
              <w:rPr>
                <w:rFonts w:hint="eastAsia" w:ascii="黑体" w:hAnsi="黑体" w:eastAsia="黑体" w:cs="黑体"/>
                <w:b w:val="0"/>
                <w:bCs w:val="0"/>
                <w:i w:val="0"/>
                <w:iCs w:val="0"/>
                <w:color w:val="000000"/>
                <w:sz w:val="24"/>
                <w:szCs w:val="24"/>
                <w:u w:val="none"/>
              </w:rPr>
            </w:pPr>
          </w:p>
        </w:tc>
        <w:tc>
          <w:tcPr>
            <w:tcW w:w="762" w:type="dxa"/>
            <w:tcBorders>
              <w:tl2br w:val="nil"/>
              <w:tr2bl w:val="nil"/>
            </w:tcBorders>
            <w:noWrap/>
            <w:vAlign w:val="bottom"/>
          </w:tcPr>
          <w:p>
            <w:pPr>
              <w:rPr>
                <w:rFonts w:hint="eastAsia" w:ascii="黑体" w:hAnsi="黑体" w:eastAsia="黑体" w:cs="黑体"/>
                <w:b w:val="0"/>
                <w:bCs w:val="0"/>
                <w:i w:val="0"/>
                <w:iCs w:val="0"/>
                <w:color w:val="000000"/>
                <w:sz w:val="24"/>
                <w:szCs w:val="24"/>
                <w:u w:val="none"/>
              </w:rPr>
            </w:pPr>
          </w:p>
        </w:tc>
        <w:tc>
          <w:tcPr>
            <w:tcW w:w="809" w:type="dxa"/>
            <w:tcBorders>
              <w:tl2br w:val="nil"/>
              <w:tr2bl w:val="nil"/>
            </w:tcBorders>
            <w:noWrap/>
            <w:vAlign w:val="bottom"/>
          </w:tcPr>
          <w:p>
            <w:pPr>
              <w:rPr>
                <w:rFonts w:hint="eastAsia" w:ascii="黑体" w:hAnsi="黑体" w:eastAsia="黑体" w:cs="黑体"/>
                <w:b w:val="0"/>
                <w:bCs w:val="0"/>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625" w:type="dxa"/>
            <w:gridSpan w:val="2"/>
            <w:tcBorders>
              <w:tl2br w:val="nil"/>
              <w:tr2bl w:val="nil"/>
            </w:tcBorders>
            <w:noWrap/>
            <w:vAlign w:val="center"/>
          </w:tcPr>
          <w:p>
            <w:pPr>
              <w:jc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备注</w:t>
            </w:r>
          </w:p>
        </w:tc>
        <w:tc>
          <w:tcPr>
            <w:tcW w:w="13669" w:type="dxa"/>
            <w:gridSpan w:val="13"/>
            <w:tcBorders>
              <w:tl2br w:val="nil"/>
              <w:tr2bl w:val="nil"/>
            </w:tcBorders>
            <w:noWrap/>
            <w:vAlign w:val="bottom"/>
          </w:tcPr>
          <w:p>
            <w:pPr>
              <w:jc w:val="center"/>
              <w:rPr>
                <w:rFonts w:hint="eastAsia" w:ascii="仿宋_GB2312" w:hAnsi="仿宋_GB2312" w:eastAsia="仿宋_GB2312" w:cs="仿宋_GB2312"/>
                <w:b w:val="0"/>
                <w:bCs w:val="0"/>
                <w:i w:val="0"/>
                <w:iCs w:val="0"/>
                <w:color w:val="000000"/>
                <w:sz w:val="24"/>
                <w:szCs w:val="24"/>
                <w:u w:val="none"/>
                <w:lang w:eastAsia="zh-CN"/>
              </w:rPr>
            </w:pPr>
            <w:r>
              <w:rPr>
                <w:rFonts w:hint="eastAsia" w:ascii="仿宋_GB2312" w:hAnsi="仿宋_GB2312" w:eastAsia="仿宋_GB2312" w:cs="仿宋_GB2312"/>
                <w:bCs/>
                <w:color w:val="auto"/>
                <w:sz w:val="24"/>
              </w:rPr>
              <w:t>各</w:t>
            </w:r>
            <w:r>
              <w:rPr>
                <w:rFonts w:hint="eastAsia" w:ascii="仿宋_GB2312" w:hAnsi="仿宋_GB2312" w:eastAsia="仿宋_GB2312" w:cs="仿宋_GB2312"/>
                <w:bCs/>
                <w:color w:val="auto"/>
                <w:sz w:val="24"/>
                <w:lang w:eastAsia="zh-CN"/>
              </w:rPr>
              <w:t>主管部门</w:t>
            </w:r>
            <w:r>
              <w:rPr>
                <w:rFonts w:hint="eastAsia" w:ascii="仿宋_GB2312" w:hAnsi="仿宋_GB2312" w:eastAsia="仿宋_GB2312" w:cs="仿宋_GB2312"/>
                <w:bCs/>
                <w:color w:val="auto"/>
                <w:sz w:val="24"/>
              </w:rPr>
              <w:t>、</w:t>
            </w:r>
            <w:r>
              <w:rPr>
                <w:rFonts w:hint="eastAsia" w:ascii="仿宋_GB2312" w:hAnsi="仿宋_GB2312" w:eastAsia="仿宋_GB2312" w:cs="仿宋_GB2312"/>
                <w:bCs/>
                <w:color w:val="auto"/>
                <w:sz w:val="24"/>
                <w:lang w:eastAsia="zh-CN"/>
              </w:rPr>
              <w:t>各县属国有企业</w:t>
            </w:r>
            <w:r>
              <w:rPr>
                <w:rFonts w:hint="eastAsia" w:ascii="仿宋_GB2312" w:hAnsi="仿宋_GB2312" w:eastAsia="仿宋_GB2312" w:cs="仿宋_GB2312"/>
                <w:bCs/>
                <w:sz w:val="24"/>
                <w:lang w:val="en-US" w:eastAsia="zh-CN"/>
              </w:rPr>
              <w:t>于每日10:30前将最新数据汇总</w:t>
            </w:r>
            <w:r>
              <w:rPr>
                <w:rFonts w:hint="eastAsia" w:ascii="仿宋_GB2312" w:hAnsi="仿宋_GB2312" w:eastAsia="仿宋_GB2312" w:cs="仿宋_GB2312"/>
                <w:bCs/>
                <w:sz w:val="24"/>
              </w:rPr>
              <w:t>通过浙政钉反馈</w:t>
            </w:r>
            <w:r>
              <w:rPr>
                <w:rFonts w:hint="eastAsia" w:ascii="仿宋_GB2312" w:hAnsi="仿宋_GB2312" w:eastAsia="仿宋_GB2312" w:cs="仿宋_GB2312"/>
                <w:bCs/>
                <w:sz w:val="24"/>
                <w:szCs w:val="24"/>
                <w:lang w:eastAsia="zh-CN"/>
              </w:rPr>
              <w:t>；若当日数据无新增，请发送“无”在浙政钉反馈。</w:t>
            </w:r>
          </w:p>
        </w:tc>
      </w:tr>
    </w:tbl>
    <w:p>
      <w:pPr>
        <w:keepNext w:val="0"/>
        <w:keepLines w:val="0"/>
        <w:pageBreakBefore w:val="0"/>
        <w:widowControl w:val="0"/>
        <w:tabs>
          <w:tab w:val="left" w:pos="360"/>
        </w:tabs>
        <w:kinsoku/>
        <w:wordWrap/>
        <w:overflowPunct/>
        <w:topLinePunct w:val="0"/>
        <w:autoSpaceDE/>
        <w:autoSpaceDN/>
        <w:bidi w:val="0"/>
        <w:adjustRightInd/>
        <w:snapToGrid/>
        <w:spacing w:line="20" w:lineRule="exact"/>
        <w:ind w:firstLine="280" w:firstLineChars="100"/>
        <w:textAlignment w:val="auto"/>
        <w:rPr>
          <w:rFonts w:hint="eastAsia" w:ascii="仿宋_GB2312" w:eastAsia="仿宋_GB2312"/>
          <w:color w:val="000000"/>
          <w:sz w:val="28"/>
          <w:szCs w:val="28"/>
        </w:rPr>
      </w:pPr>
    </w:p>
    <w:p>
      <w:pPr>
        <w:bidi w:val="0"/>
        <w:jc w:val="left"/>
        <w:rPr>
          <w:rFonts w:hint="default"/>
          <w:lang w:val="en-US" w:eastAsia="zh-CN"/>
        </w:rPr>
      </w:pPr>
      <w:r>
        <w:rPr>
          <w:rFonts w:hint="eastAsia" w:ascii="仿宋_GB2312" w:hAnsi="仿宋_GB2312" w:eastAsia="仿宋_GB2312" w:cs="仿宋_GB2312"/>
          <w:color w:val="000000"/>
          <w:kern w:val="0"/>
          <w:sz w:val="24"/>
          <w:szCs w:val="24"/>
        </w:rPr>
        <w:t>填报人：</w:t>
      </w:r>
      <w:r>
        <w:rPr>
          <w:rFonts w:hint="eastAsia" w:ascii="仿宋_GB2312" w:hAnsi="仿宋_GB2312" w:eastAsia="仿宋_GB2312" w:cs="仿宋_GB2312"/>
          <w:color w:val="000000"/>
          <w:kern w:val="0"/>
          <w:sz w:val="24"/>
          <w:szCs w:val="24"/>
          <w:lang w:val="en-US" w:eastAsia="zh-CN"/>
        </w:rPr>
        <w:t xml:space="preserve">                                           联系方式：</w:t>
      </w:r>
    </w:p>
    <w:p>
      <w:pPr>
        <w:tabs>
          <w:tab w:val="left" w:pos="1371"/>
        </w:tabs>
        <w:bidi w:val="0"/>
        <w:jc w:val="left"/>
        <w:rPr>
          <w:rFonts w:hint="eastAsia"/>
          <w:lang w:val="en-US" w:eastAsia="zh-CN"/>
        </w:rPr>
      </w:pPr>
      <w:r>
        <w:rPr>
          <w:rFonts w:hint="eastAsia"/>
          <w:lang w:val="en-US" w:eastAsia="zh-CN"/>
        </w:rPr>
        <w:tab/>
      </w:r>
    </w:p>
    <w:p>
      <w:pPr>
        <w:rPr>
          <w:rFonts w:hint="eastAsia"/>
          <w:lang w:val="en-US" w:eastAsia="zh-CN"/>
        </w:rPr>
      </w:pPr>
      <w:r>
        <w:rPr>
          <w:rFonts w:hint="eastAsia"/>
          <w:lang w:val="en-US" w:eastAsia="zh-CN"/>
        </w:rPr>
        <w:br w:type="page"/>
      </w:r>
    </w:p>
    <w:p>
      <w:pPr>
        <w:pStyle w:val="2"/>
        <w:rPr>
          <w:rFonts w:hint="eastAsia"/>
          <w:lang w:val="en-US" w:eastAsia="zh-CN"/>
        </w:rPr>
        <w:sectPr>
          <w:pgSz w:w="16838" w:h="11906" w:orient="landscape"/>
          <w:pgMar w:top="1800" w:right="1440" w:bottom="1800" w:left="1440" w:header="851" w:footer="992" w:gutter="0"/>
          <w:cols w:space="425" w:num="1"/>
          <w:docGrid w:type="lines" w:linePitch="312" w:charSpace="0"/>
        </w:sectPr>
      </w:pPr>
    </w:p>
    <w:p>
      <w:pPr>
        <w:spacing w:line="600" w:lineRule="exact"/>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4</w:t>
      </w:r>
    </w:p>
    <w:p>
      <w:pPr>
        <w:spacing w:line="600" w:lineRule="exact"/>
        <w:ind w:firstLine="2200" w:firstLineChars="500"/>
        <w:jc w:val="both"/>
        <w:rPr>
          <w:rFonts w:hint="eastAsia" w:ascii="方正小标宋简体" w:hAnsi="黑体" w:eastAsia="方正小标宋简体"/>
          <w:sz w:val="44"/>
          <w:szCs w:val="44"/>
        </w:rPr>
      </w:pPr>
      <w:r>
        <w:rPr>
          <w:rFonts w:hint="eastAsia" w:ascii="方正小标宋简体" w:hAnsi="黑体" w:eastAsia="方正小标宋简体"/>
          <w:sz w:val="44"/>
          <w:szCs w:val="44"/>
        </w:rPr>
        <w:t>房屋租金减免承诺函</w:t>
      </w:r>
    </w:p>
    <w:p>
      <w:pPr>
        <w:spacing w:line="60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w:t>
      </w:r>
    </w:p>
    <w:p>
      <w:pPr>
        <w:spacing w:line="60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本申请人</w:t>
      </w:r>
      <w:r>
        <w:rPr>
          <w:rFonts w:hint="eastAsia" w:ascii="仿宋_GB2312" w:hAnsi="仿宋_GB2312" w:eastAsia="仿宋_GB2312" w:cs="仿宋_GB2312"/>
          <w:sz w:val="30"/>
          <w:szCs w:val="30"/>
          <w:lang w:eastAsia="zh-CN"/>
        </w:rPr>
        <w:t>（承租方）于</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rPr>
        <w:t>日（填写租赁合同签订日期）与</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rPr>
        <w:t>（填写出租方名称）签订租赁合同，承租位于</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（房屋地址）的房屋，租赁面积</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平方米，租赁到期日为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rPr>
        <w:t>日（填写租赁合同终止日期）</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可享受租金减免</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rPr>
        <w:t>元。本申请</w:t>
      </w:r>
      <w:r>
        <w:rPr>
          <w:rFonts w:hint="eastAsia" w:ascii="仿宋_GB2312" w:hAnsi="仿宋_GB2312" w:eastAsia="仿宋_GB2312" w:cs="仿宋_GB2312"/>
          <w:sz w:val="30"/>
          <w:szCs w:val="30"/>
          <w:lang w:eastAsia="zh-CN"/>
        </w:rPr>
        <w:t>人</w:t>
      </w:r>
      <w:r>
        <w:rPr>
          <w:rFonts w:hint="eastAsia" w:ascii="仿宋_GB2312" w:hAnsi="仿宋_GB2312" w:eastAsia="仿宋_GB2312" w:cs="仿宋_GB2312"/>
          <w:sz w:val="30"/>
          <w:szCs w:val="30"/>
        </w:rPr>
        <w:t>承诺为最终承租人，符合</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永嘉县</w:t>
      </w:r>
      <w:r>
        <w:rPr>
          <w:rFonts w:hint="eastAsia" w:ascii="仿宋_GB2312" w:hAnsi="仿宋_GB2312" w:eastAsia="仿宋_GB2312" w:cs="仿宋_GB2312"/>
          <w:color w:val="auto"/>
          <w:sz w:val="32"/>
          <w:szCs w:val="32"/>
        </w:rPr>
        <w:t>人民政府印发</w:t>
      </w:r>
      <w:r>
        <w:rPr>
          <w:rFonts w:hint="eastAsia" w:ascii="仿宋_GB2312" w:hAnsi="仿宋_GB2312" w:eastAsia="仿宋_GB2312" w:cs="仿宋_GB2312"/>
          <w:color w:val="auto"/>
          <w:sz w:val="32"/>
          <w:szCs w:val="32"/>
          <w:lang w:eastAsia="zh-CN"/>
        </w:rPr>
        <w:t>关于</w:t>
      </w:r>
      <w:r>
        <w:rPr>
          <w:rFonts w:hint="eastAsia" w:ascii="仿宋_GB2312" w:hAnsi="仿宋_GB2312" w:eastAsia="仿宋_GB2312" w:cs="仿宋_GB2312"/>
          <w:color w:val="auto"/>
          <w:sz w:val="32"/>
          <w:szCs w:val="32"/>
        </w:rPr>
        <w:t>应对新冠肺炎疫情帮助市场主体纾困解难3</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条措施的通知》</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永</w:t>
      </w:r>
      <w:r>
        <w:rPr>
          <w:rFonts w:hint="eastAsia" w:ascii="仿宋_GB2312" w:hAnsi="仿宋_GB2312" w:eastAsia="仿宋_GB2312" w:cs="仿宋_GB2312"/>
          <w:sz w:val="30"/>
          <w:szCs w:val="30"/>
        </w:rPr>
        <w:t>政发〔2022〕</w:t>
      </w:r>
      <w:r>
        <w:rPr>
          <w:rFonts w:hint="eastAsia" w:ascii="仿宋_GB2312" w:hAnsi="仿宋_GB2312" w:eastAsia="仿宋_GB2312" w:cs="仿宋_GB2312"/>
          <w:sz w:val="30"/>
          <w:szCs w:val="30"/>
          <w:lang w:val="en-US" w:eastAsia="zh-CN"/>
        </w:rPr>
        <w:t>26</w:t>
      </w:r>
      <w:r>
        <w:rPr>
          <w:rFonts w:hint="eastAsia" w:ascii="仿宋_GB2312" w:hAnsi="仿宋_GB2312" w:eastAsia="仿宋_GB2312" w:cs="仿宋_GB2312"/>
          <w:sz w:val="30"/>
          <w:szCs w:val="30"/>
        </w:rPr>
        <w:t>号）及《</w:t>
      </w:r>
      <w:r>
        <w:rPr>
          <w:rFonts w:hint="eastAsia" w:ascii="仿宋_GB2312" w:hAnsi="仿宋_GB2312" w:eastAsia="仿宋_GB2312" w:cs="仿宋_GB2312"/>
          <w:sz w:val="30"/>
          <w:szCs w:val="30"/>
          <w:lang w:val="en-US" w:eastAsia="zh-CN"/>
        </w:rPr>
        <w:t>永嘉县财政局关于落实</w:t>
      </w:r>
      <w:r>
        <w:rPr>
          <w:rFonts w:hint="eastAsia" w:ascii="仿宋_GB2312" w:hAnsi="仿宋_GB2312" w:eastAsia="仿宋_GB2312" w:cs="仿宋_GB2312"/>
          <w:color w:val="auto"/>
          <w:sz w:val="30"/>
          <w:szCs w:val="30"/>
          <w:lang w:val="en-US" w:eastAsia="zh-CN"/>
        </w:rPr>
        <w:t>疫情减租</w:t>
      </w:r>
      <w:r>
        <w:rPr>
          <w:rFonts w:hint="eastAsia" w:ascii="仿宋_GB2312" w:hAnsi="仿宋_GB2312" w:eastAsia="仿宋_GB2312" w:cs="仿宋_GB2312"/>
          <w:sz w:val="30"/>
          <w:szCs w:val="30"/>
          <w:lang w:val="en-US" w:eastAsia="zh-CN"/>
        </w:rPr>
        <w:t>扶持政策的工作指引</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永</w:t>
      </w:r>
      <w:r>
        <w:rPr>
          <w:rFonts w:hint="eastAsia" w:ascii="仿宋_GB2312" w:hAnsi="仿宋_GB2312" w:eastAsia="仿宋_GB2312" w:cs="仿宋_GB2312"/>
          <w:sz w:val="30"/>
          <w:szCs w:val="30"/>
        </w:rPr>
        <w:t>财</w:t>
      </w:r>
      <w:r>
        <w:rPr>
          <w:rFonts w:hint="eastAsia" w:ascii="仿宋_GB2312" w:hAnsi="仿宋_GB2312" w:eastAsia="仿宋_GB2312" w:cs="仿宋_GB2312"/>
          <w:sz w:val="30"/>
          <w:szCs w:val="30"/>
          <w:lang w:eastAsia="zh-CN"/>
        </w:rPr>
        <w:t>发</w:t>
      </w:r>
      <w:r>
        <w:rPr>
          <w:rFonts w:hint="eastAsia" w:ascii="仿宋_GB2312" w:hAnsi="仿宋_GB2312" w:eastAsia="仿宋_GB2312" w:cs="仿宋_GB2312"/>
          <w:sz w:val="30"/>
          <w:szCs w:val="30"/>
        </w:rPr>
        <w:t>〔2022〕</w:t>
      </w:r>
      <w:r>
        <w:rPr>
          <w:rFonts w:hint="eastAsia" w:ascii="仿宋_GB2312" w:hAnsi="仿宋_GB2312" w:eastAsia="仿宋_GB2312" w:cs="仿宋_GB2312"/>
          <w:sz w:val="30"/>
          <w:szCs w:val="30"/>
          <w:lang w:val="en-US" w:eastAsia="zh-CN"/>
        </w:rPr>
        <w:t xml:space="preserve"> 129</w:t>
      </w:r>
      <w:r>
        <w:rPr>
          <w:rFonts w:hint="eastAsia" w:ascii="仿宋_GB2312" w:hAnsi="仿宋_GB2312" w:eastAsia="仿宋_GB2312" w:cs="仿宋_GB2312"/>
          <w:sz w:val="30"/>
          <w:szCs w:val="30"/>
        </w:rPr>
        <w:t>号）有关规定，属于减租政策对象，提交的材料真实、准确、完整，不存在承租后转租他人的情形（包括承租后将房屋委托或承包给他人经营等视同出租的行为）。如有虚假或隐瞒，自愿无条件退回减免的租金，并承担由此造成的一切不利后果。</w:t>
      </w:r>
    </w:p>
    <w:p>
      <w:pPr>
        <w:spacing w:line="580" w:lineRule="exact"/>
        <w:rPr>
          <w:rFonts w:hint="eastAsia" w:ascii="仿宋_GB2312" w:hAnsi="仿宋_GB2312" w:eastAsia="仿宋_GB2312" w:cs="仿宋_GB2312"/>
          <w:sz w:val="30"/>
          <w:szCs w:val="30"/>
        </w:rPr>
      </w:pPr>
    </w:p>
    <w:p>
      <w:pPr>
        <w:spacing w:line="580" w:lineRule="exact"/>
        <w:rPr>
          <w:rFonts w:ascii="仿宋_GB2312" w:hAnsi="仿宋_GB2312" w:eastAsia="仿宋_GB2312" w:cs="仿宋_GB2312"/>
          <w:sz w:val="30"/>
          <w:szCs w:val="30"/>
        </w:rPr>
      </w:pPr>
    </w:p>
    <w:p>
      <w:pPr>
        <w:spacing w:line="580" w:lineRule="exact"/>
        <w:ind w:firstLine="1500" w:firstLineChars="500"/>
        <w:rPr>
          <w:rFonts w:ascii="仿宋_GB2312" w:hAnsi="仿宋_GB2312" w:eastAsia="仿宋_GB2312" w:cs="仿宋_GB2312"/>
          <w:sz w:val="30"/>
          <w:szCs w:val="30"/>
        </w:rPr>
      </w:pPr>
      <w:r>
        <w:rPr>
          <w:rFonts w:hint="eastAsia" w:ascii="仿宋_GB2312" w:hAnsi="仿宋_GB2312" w:eastAsia="仿宋_GB2312" w:cs="仿宋_GB2312"/>
          <w:sz w:val="30"/>
          <w:szCs w:val="30"/>
        </w:rPr>
        <w:t>承诺方盖章：             承诺方法定代表人签名：</w:t>
      </w:r>
    </w:p>
    <w:p>
      <w:pPr>
        <w:spacing w:line="58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pStyle w:val="2"/>
        <w:rPr>
          <w:rFonts w:hint="default"/>
          <w:lang w:val="en-US" w:eastAsia="zh-CN"/>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年   月   日        </w:t>
      </w:r>
    </w:p>
    <w:p>
      <w:pPr>
        <w:pStyle w:val="3"/>
        <w:rPr>
          <w:rFonts w:hint="eastAsia"/>
          <w:lang w:val="en-US" w:eastAsia="zh-CN"/>
        </w:rPr>
      </w:pPr>
    </w:p>
    <w:p>
      <w:pPr>
        <w:pStyle w:val="2"/>
        <w:rPr>
          <w:rFonts w:hint="default"/>
          <w:lang w:val="en-US" w:eastAsia="zh-CN"/>
        </w:rPr>
      </w:pPr>
    </w:p>
    <w:p>
      <w:pPr>
        <w:spacing w:line="600" w:lineRule="exact"/>
        <w:rPr>
          <w:rFonts w:hint="eastAsia" w:ascii="黑体" w:hAnsi="黑体" w:eastAsia="黑体" w:cs="Times New Roman"/>
          <w:sz w:val="32"/>
          <w:szCs w:val="32"/>
          <w:lang w:val="en-US" w:eastAsia="zh-CN"/>
        </w:rPr>
      </w:pPr>
    </w:p>
    <w:p>
      <w:pPr>
        <w:spacing w:line="600" w:lineRule="exact"/>
        <w:rPr>
          <w:rFonts w:hint="default" w:ascii="黑体" w:hAnsi="黑体" w:eastAsia="黑体" w:cs="Times New Roman"/>
          <w:sz w:val="32"/>
          <w:szCs w:val="32"/>
          <w:lang w:val="en-US" w:eastAsia="zh-CN"/>
        </w:rPr>
      </w:pPr>
      <w:r>
        <w:rPr>
          <w:rFonts w:hint="eastAsia" w:ascii="黑体" w:hAnsi="黑体" w:eastAsia="黑体" w:cs="Times New Roman"/>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240" w:lineRule="auto"/>
        <w:ind w:firstLine="880" w:firstLineChars="200"/>
        <w:jc w:val="both"/>
        <w:textAlignment w:val="auto"/>
        <w:rPr>
          <w:rFonts w:hint="eastAsia" w:ascii="仿宋_GB2312" w:hAnsi="仿宋_GB2312" w:eastAsia="仿宋_GB2312" w:cs="仿宋_GB2312"/>
          <w:kern w:val="2"/>
          <w:sz w:val="30"/>
          <w:szCs w:val="30"/>
          <w:lang w:val="en-US" w:eastAsia="zh-CN" w:bidi="ar-SA"/>
        </w:rPr>
      </w:pPr>
      <w:r>
        <w:rPr>
          <w:rFonts w:hint="eastAsia" w:ascii="方正小标宋简体" w:hAnsi="黑体" w:eastAsia="方正小标宋简体" w:cs="Times New Roman"/>
          <w:sz w:val="44"/>
          <w:szCs w:val="44"/>
          <w:lang w:val="en-US" w:eastAsia="zh-CN"/>
        </w:rPr>
        <w:t>租金减免补充协议（参考模板）</w:t>
      </w:r>
    </w:p>
    <w:p>
      <w:pPr>
        <w:pStyle w:val="2"/>
        <w:keepNext w:val="0"/>
        <w:keepLines w:val="0"/>
        <w:pageBreakBefore w:val="0"/>
        <w:widowControl w:val="0"/>
        <w:kinsoku/>
        <w:wordWrap/>
        <w:overflowPunct/>
        <w:topLinePunct w:val="0"/>
        <w:autoSpaceDE/>
        <w:autoSpaceDN/>
        <w:bidi w:val="0"/>
        <w:adjustRightInd/>
        <w:snapToGrid/>
        <w:spacing w:line="240" w:lineRule="auto"/>
        <w:ind w:firstLine="60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kern w:val="2"/>
          <w:sz w:val="30"/>
          <w:szCs w:val="30"/>
          <w:lang w:val="en-US" w:eastAsia="zh-CN" w:bidi="ar-SA"/>
        </w:rPr>
        <w:t>根据</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永嘉县</w:t>
      </w:r>
      <w:r>
        <w:rPr>
          <w:rFonts w:hint="eastAsia" w:ascii="仿宋_GB2312" w:hAnsi="仿宋_GB2312" w:eastAsia="仿宋_GB2312" w:cs="仿宋_GB2312"/>
          <w:color w:val="auto"/>
          <w:sz w:val="32"/>
          <w:szCs w:val="32"/>
        </w:rPr>
        <w:t>人民政府印发</w:t>
      </w:r>
      <w:r>
        <w:rPr>
          <w:rFonts w:hint="eastAsia" w:ascii="仿宋_GB2312" w:hAnsi="仿宋_GB2312" w:eastAsia="仿宋_GB2312" w:cs="仿宋_GB2312"/>
          <w:color w:val="auto"/>
          <w:sz w:val="32"/>
          <w:szCs w:val="32"/>
          <w:lang w:eastAsia="zh-CN"/>
        </w:rPr>
        <w:t>关于</w:t>
      </w:r>
      <w:r>
        <w:rPr>
          <w:rFonts w:hint="eastAsia" w:ascii="仿宋_GB2312" w:hAnsi="仿宋_GB2312" w:eastAsia="仿宋_GB2312" w:cs="仿宋_GB2312"/>
          <w:color w:val="auto"/>
          <w:sz w:val="32"/>
          <w:szCs w:val="32"/>
        </w:rPr>
        <w:t>应对新冠肺炎疫情帮助市场主体纾困解难3</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条措施的通知》</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永</w:t>
      </w:r>
      <w:r>
        <w:rPr>
          <w:rFonts w:hint="eastAsia" w:ascii="仿宋_GB2312" w:hAnsi="仿宋_GB2312" w:eastAsia="仿宋_GB2312" w:cs="仿宋_GB2312"/>
          <w:sz w:val="30"/>
          <w:szCs w:val="30"/>
        </w:rPr>
        <w:t>政发〔2022〕</w:t>
      </w:r>
      <w:r>
        <w:rPr>
          <w:rFonts w:hint="eastAsia" w:ascii="仿宋_GB2312" w:hAnsi="仿宋_GB2312" w:eastAsia="仿宋_GB2312" w:cs="仿宋_GB2312"/>
          <w:sz w:val="30"/>
          <w:szCs w:val="30"/>
          <w:lang w:val="en-US" w:eastAsia="zh-CN"/>
        </w:rPr>
        <w:t>26</w:t>
      </w:r>
      <w:r>
        <w:rPr>
          <w:rFonts w:hint="eastAsia" w:ascii="仿宋_GB2312" w:hAnsi="仿宋_GB2312" w:eastAsia="仿宋_GB2312" w:cs="仿宋_GB2312"/>
          <w:sz w:val="30"/>
          <w:szCs w:val="30"/>
        </w:rPr>
        <w:t>号）及《</w:t>
      </w:r>
      <w:r>
        <w:rPr>
          <w:rFonts w:hint="eastAsia" w:ascii="仿宋_GB2312" w:hAnsi="仿宋_GB2312" w:eastAsia="仿宋_GB2312" w:cs="仿宋_GB2312"/>
          <w:sz w:val="30"/>
          <w:szCs w:val="30"/>
          <w:lang w:val="en-US" w:eastAsia="zh-CN"/>
        </w:rPr>
        <w:t>永嘉县财政局关于落实</w:t>
      </w:r>
      <w:r>
        <w:rPr>
          <w:rFonts w:hint="eastAsia" w:ascii="仿宋_GB2312" w:hAnsi="仿宋_GB2312" w:eastAsia="仿宋_GB2312" w:cs="仿宋_GB2312"/>
          <w:color w:val="auto"/>
          <w:sz w:val="30"/>
          <w:szCs w:val="30"/>
          <w:lang w:val="en-US" w:eastAsia="zh-CN"/>
        </w:rPr>
        <w:t>疫情减租</w:t>
      </w:r>
      <w:r>
        <w:rPr>
          <w:rFonts w:hint="eastAsia" w:ascii="仿宋_GB2312" w:hAnsi="仿宋_GB2312" w:eastAsia="仿宋_GB2312" w:cs="仿宋_GB2312"/>
          <w:sz w:val="30"/>
          <w:szCs w:val="30"/>
          <w:lang w:val="en-US" w:eastAsia="zh-CN"/>
        </w:rPr>
        <w:t>扶持政策的工作指引</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永</w:t>
      </w:r>
      <w:r>
        <w:rPr>
          <w:rFonts w:hint="eastAsia" w:ascii="仿宋_GB2312" w:hAnsi="仿宋_GB2312" w:eastAsia="仿宋_GB2312" w:cs="仿宋_GB2312"/>
          <w:sz w:val="30"/>
          <w:szCs w:val="30"/>
        </w:rPr>
        <w:t>财</w:t>
      </w:r>
      <w:r>
        <w:rPr>
          <w:rFonts w:hint="eastAsia" w:ascii="仿宋_GB2312" w:hAnsi="仿宋_GB2312" w:eastAsia="仿宋_GB2312" w:cs="仿宋_GB2312"/>
          <w:sz w:val="30"/>
          <w:szCs w:val="30"/>
          <w:lang w:eastAsia="zh-CN"/>
        </w:rPr>
        <w:t>发</w:t>
      </w:r>
      <w:r>
        <w:rPr>
          <w:rFonts w:hint="eastAsia" w:ascii="仿宋_GB2312" w:hAnsi="仿宋_GB2312" w:eastAsia="仿宋_GB2312" w:cs="仿宋_GB2312"/>
          <w:sz w:val="30"/>
          <w:szCs w:val="30"/>
        </w:rPr>
        <w:t>〔2022〕</w:t>
      </w:r>
      <w:r>
        <w:rPr>
          <w:rFonts w:hint="eastAsia" w:ascii="仿宋_GB2312" w:hAnsi="仿宋_GB2312" w:eastAsia="仿宋_GB2312" w:cs="仿宋_GB2312"/>
          <w:sz w:val="30"/>
          <w:szCs w:val="30"/>
          <w:lang w:val="en-US" w:eastAsia="zh-CN"/>
        </w:rPr>
        <w:t>129</w:t>
      </w:r>
      <w:r>
        <w:rPr>
          <w:rFonts w:hint="eastAsia" w:ascii="仿宋_GB2312" w:hAnsi="仿宋_GB2312" w:eastAsia="仿宋_GB2312" w:cs="仿宋_GB2312"/>
          <w:sz w:val="30"/>
          <w:szCs w:val="30"/>
        </w:rPr>
        <w:t>号）</w:t>
      </w:r>
      <w:r>
        <w:rPr>
          <w:rFonts w:hint="eastAsia" w:ascii="仿宋_GB2312" w:hAnsi="仿宋_GB2312" w:eastAsia="仿宋_GB2312" w:cs="仿宋_GB2312"/>
          <w:sz w:val="30"/>
          <w:szCs w:val="30"/>
          <w:lang w:eastAsia="zh-CN"/>
        </w:rPr>
        <w:t>的相关要求，对承租</w:t>
      </w:r>
      <w:r>
        <w:rPr>
          <w:rFonts w:hint="eastAsia" w:ascii="仿宋_GB2312" w:hAnsi="仿宋_GB2312" w:eastAsia="仿宋_GB2312" w:cs="仿宋_GB2312"/>
          <w:color w:val="auto"/>
          <w:sz w:val="32"/>
          <w:szCs w:val="32"/>
          <w:lang w:val="en-US" w:eastAsia="zh-CN"/>
        </w:rPr>
        <w:t>县属国有企业及其所属企业（包括全资、控股和实际控制企业)和行政事业单位及其下属企业（含国有全资、控股和实际控制企业，不含集体企业</w:t>
      </w:r>
      <w:r>
        <w:rPr>
          <w:rFonts w:hint="eastAsia" w:ascii="仿宋_GB2312" w:hAnsi="仿宋_GB2312" w:eastAsia="仿宋_GB2312" w:cs="仿宋_GB2312"/>
          <w:szCs w:val="32"/>
        </w:rPr>
        <w:t>）</w:t>
      </w:r>
      <w:r>
        <w:rPr>
          <w:rFonts w:hint="eastAsia" w:ascii="仿宋_GB2312" w:hAnsi="仿宋_GB2312" w:eastAsia="仿宋_GB2312" w:cs="仿宋_GB2312"/>
          <w:color w:val="auto"/>
          <w:sz w:val="32"/>
          <w:szCs w:val="32"/>
          <w:lang w:val="en-US" w:eastAsia="zh-CN"/>
        </w:rPr>
        <w:t>国有房屋的非国有工业企业、服务业小微企业和</w:t>
      </w:r>
      <w:bookmarkStart w:id="0" w:name="_GoBack"/>
      <w:bookmarkEnd w:id="0"/>
      <w:r>
        <w:rPr>
          <w:rFonts w:hint="eastAsia" w:ascii="仿宋_GB2312" w:hAnsi="仿宋_GB2312" w:eastAsia="仿宋_GB2312" w:cs="仿宋_GB2312"/>
          <w:color w:val="auto"/>
          <w:sz w:val="32"/>
          <w:szCs w:val="32"/>
          <w:lang w:val="en-US" w:eastAsia="zh-CN"/>
        </w:rPr>
        <w:t>个体工商户，免收3个月租金。</w:t>
      </w:r>
    </w:p>
    <w:p>
      <w:pPr>
        <w:pStyle w:val="3"/>
        <w:ind w:firstLine="600" w:firstLineChars="200"/>
        <w:jc w:val="both"/>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lang w:eastAsia="zh-CN"/>
        </w:rPr>
        <w:t>（承租方名称）于</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日（填写租赁合同签订日期）与</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rPr>
        <w:t>（出租方名称）签订租赁合同，承租位于</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（房屋地址）的房屋，租赁面积</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平方米，租赁到期日为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日（填写租赁合同终止日期）</w:t>
      </w:r>
      <w:r>
        <w:rPr>
          <w:rFonts w:hint="eastAsia" w:ascii="仿宋_GB2312" w:hAnsi="仿宋_GB2312" w:eastAsia="仿宋_GB2312" w:cs="仿宋_GB2312"/>
          <w:sz w:val="30"/>
          <w:szCs w:val="30"/>
          <w:lang w:eastAsia="zh-CN"/>
        </w:rPr>
        <w:t>，年租金为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lang w:eastAsia="zh-CN"/>
        </w:rPr>
        <w:t>元，</w:t>
      </w:r>
      <w:r>
        <w:rPr>
          <w:rFonts w:hint="eastAsia" w:ascii="仿宋_GB2312" w:hAnsi="仿宋_GB2312" w:eastAsia="仿宋_GB2312" w:cs="仿宋_GB2312"/>
          <w:sz w:val="30"/>
          <w:szCs w:val="30"/>
        </w:rPr>
        <w:t>可享受租金减免</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元。</w:t>
      </w:r>
      <w:r>
        <w:rPr>
          <w:rFonts w:hint="eastAsia" w:ascii="仿宋_GB2312" w:hAnsi="仿宋_GB2312" w:eastAsia="仿宋_GB2312" w:cs="仿宋_GB2312"/>
          <w:sz w:val="30"/>
          <w:szCs w:val="30"/>
          <w:lang w:val="en-US" w:eastAsia="zh-CN"/>
        </w:rPr>
        <w:t>(还须注明以什么方式减免）</w:t>
      </w:r>
    </w:p>
    <w:p>
      <w:pPr>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其他事项按原合同执行。</w:t>
      </w:r>
    </w:p>
    <w:p>
      <w:pPr>
        <w:pStyle w:val="2"/>
        <w:ind w:firstLine="600" w:firstLineChars="200"/>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本协议一式二份。双方各执一份。</w:t>
      </w:r>
    </w:p>
    <w:p>
      <w:pPr>
        <w:pStyle w:val="3"/>
        <w:ind w:left="0" w:leftChars="0" w:firstLine="0" w:firstLineChars="0"/>
        <w:jc w:val="both"/>
        <w:rPr>
          <w:rFonts w:hint="eastAsia"/>
          <w:lang w:val="en-US" w:eastAsia="zh-CN"/>
        </w:rPr>
      </w:pPr>
    </w:p>
    <w:p>
      <w:pPr>
        <w:rPr>
          <w:rFonts w:hint="eastAsia"/>
          <w:lang w:val="en-US" w:eastAsia="zh-CN"/>
        </w:rPr>
      </w:pPr>
    </w:p>
    <w:p>
      <w:pPr>
        <w:pStyle w:val="3"/>
        <w:ind w:left="0" w:leftChars="0" w:firstLine="0" w:firstLineChars="0"/>
        <w:jc w:val="both"/>
        <w:rPr>
          <w:rFonts w:hint="default"/>
          <w:lang w:val="en-US" w:eastAsia="zh-CN"/>
        </w:rPr>
      </w:pPr>
      <w:r>
        <w:rPr>
          <w:rFonts w:hint="eastAsia" w:ascii="仿宋_GB2312" w:hAnsi="仿宋_GB2312" w:eastAsia="仿宋_GB2312" w:cs="仿宋_GB2312"/>
          <w:kern w:val="2"/>
          <w:sz w:val="30"/>
          <w:szCs w:val="30"/>
          <w:lang w:val="en-US" w:eastAsia="zh-CN" w:bidi="ar-SA"/>
        </w:rPr>
        <w:t>出租方（签字并盖章）：       承租方（签字并盖章）：</w:t>
      </w:r>
    </w:p>
    <w:p>
      <w:pPr>
        <w:rPr>
          <w:rFonts w:hint="default"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2022年 月 日                 2022年 月 日</w:t>
      </w:r>
    </w:p>
    <w:p>
      <w:pPr>
        <w:pStyle w:val="2"/>
        <w:jc w:val="both"/>
        <w:rPr>
          <w:rFonts w:hint="default"/>
          <w:lang w:val="en-US" w:eastAsia="zh-CN"/>
        </w:rPr>
      </w:pPr>
      <w:r>
        <w:rPr>
          <w:rFonts w:hint="eastAsia" w:ascii="仿宋_GB2312" w:hAnsi="仿宋_GB2312" w:eastAsia="仿宋_GB2312" w:cs="仿宋_GB2312"/>
          <w:kern w:val="2"/>
          <w:sz w:val="30"/>
          <w:szCs w:val="30"/>
          <w:lang w:val="en-US" w:eastAsia="zh-CN" w:bidi="ar-SA"/>
        </w:rPr>
        <w:t>联系电话：                   联系电话：</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简小标宋">
    <w:altName w:val="宋体"/>
    <w:panose1 w:val="02010609000101010101"/>
    <w:charset w:val="86"/>
    <w:family w:val="modern"/>
    <w:pitch w:val="default"/>
    <w:sig w:usb0="00000000" w:usb1="00000000" w:usb2="0000001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5ZmZmYTAyOGUyNDIwODBkMTlmNjdjNzNlYTk5MWIifQ=="/>
  </w:docVars>
  <w:rsids>
    <w:rsidRoot w:val="17D5233D"/>
    <w:rsid w:val="010F7FF3"/>
    <w:rsid w:val="01172A03"/>
    <w:rsid w:val="01B110AA"/>
    <w:rsid w:val="01F24E6F"/>
    <w:rsid w:val="020C008E"/>
    <w:rsid w:val="025D6B3C"/>
    <w:rsid w:val="02AC6928"/>
    <w:rsid w:val="02AE7397"/>
    <w:rsid w:val="02B96468"/>
    <w:rsid w:val="02DA6184"/>
    <w:rsid w:val="02DE7C7D"/>
    <w:rsid w:val="033A6712"/>
    <w:rsid w:val="033B60C9"/>
    <w:rsid w:val="034C2839"/>
    <w:rsid w:val="03713BBB"/>
    <w:rsid w:val="03B3348A"/>
    <w:rsid w:val="03B939BC"/>
    <w:rsid w:val="03C65589"/>
    <w:rsid w:val="041860F0"/>
    <w:rsid w:val="043833BC"/>
    <w:rsid w:val="05243941"/>
    <w:rsid w:val="05465378"/>
    <w:rsid w:val="060A1284"/>
    <w:rsid w:val="06417592"/>
    <w:rsid w:val="067803E8"/>
    <w:rsid w:val="083612A8"/>
    <w:rsid w:val="089A4646"/>
    <w:rsid w:val="09475E50"/>
    <w:rsid w:val="0AD025A1"/>
    <w:rsid w:val="0AEC1DC7"/>
    <w:rsid w:val="0B073AE9"/>
    <w:rsid w:val="0B275F39"/>
    <w:rsid w:val="0B2F34FB"/>
    <w:rsid w:val="0B3A3EBE"/>
    <w:rsid w:val="0B746AC8"/>
    <w:rsid w:val="0B7D3DAB"/>
    <w:rsid w:val="0BB7550F"/>
    <w:rsid w:val="0BEE0331"/>
    <w:rsid w:val="0BF00A21"/>
    <w:rsid w:val="0C2D709F"/>
    <w:rsid w:val="0C4C20FB"/>
    <w:rsid w:val="0C581CC5"/>
    <w:rsid w:val="0C8353F1"/>
    <w:rsid w:val="0CF363C6"/>
    <w:rsid w:val="0D0227BA"/>
    <w:rsid w:val="0D447EB9"/>
    <w:rsid w:val="0D8B27AF"/>
    <w:rsid w:val="0E5E7EC3"/>
    <w:rsid w:val="0E8C58CC"/>
    <w:rsid w:val="0EC817E1"/>
    <w:rsid w:val="0EF54495"/>
    <w:rsid w:val="0F1467D4"/>
    <w:rsid w:val="0F44355D"/>
    <w:rsid w:val="11241A79"/>
    <w:rsid w:val="113676AF"/>
    <w:rsid w:val="113D64B6"/>
    <w:rsid w:val="118237B0"/>
    <w:rsid w:val="11934328"/>
    <w:rsid w:val="11CB5870"/>
    <w:rsid w:val="11E76422"/>
    <w:rsid w:val="11FE3E97"/>
    <w:rsid w:val="12302620"/>
    <w:rsid w:val="12C42073"/>
    <w:rsid w:val="12ED5CBA"/>
    <w:rsid w:val="13347445"/>
    <w:rsid w:val="13943D0C"/>
    <w:rsid w:val="139F5206"/>
    <w:rsid w:val="13F07810"/>
    <w:rsid w:val="143426B8"/>
    <w:rsid w:val="151B4EE0"/>
    <w:rsid w:val="153C5E15"/>
    <w:rsid w:val="15432418"/>
    <w:rsid w:val="15CC1BB7"/>
    <w:rsid w:val="165B2F3A"/>
    <w:rsid w:val="16C91A60"/>
    <w:rsid w:val="16E14442"/>
    <w:rsid w:val="16EF4EE4"/>
    <w:rsid w:val="16FC64CC"/>
    <w:rsid w:val="1720665E"/>
    <w:rsid w:val="172A128B"/>
    <w:rsid w:val="174F0CF1"/>
    <w:rsid w:val="179B5CE4"/>
    <w:rsid w:val="17C84C12"/>
    <w:rsid w:val="17D5233D"/>
    <w:rsid w:val="18700F1F"/>
    <w:rsid w:val="187B091F"/>
    <w:rsid w:val="18C94AD3"/>
    <w:rsid w:val="18F953B8"/>
    <w:rsid w:val="193E7F56"/>
    <w:rsid w:val="19B9553E"/>
    <w:rsid w:val="19E71A35"/>
    <w:rsid w:val="1AB57F79"/>
    <w:rsid w:val="1AFA16CE"/>
    <w:rsid w:val="1B42338C"/>
    <w:rsid w:val="1B472D88"/>
    <w:rsid w:val="1B803B6F"/>
    <w:rsid w:val="1B9E3FF5"/>
    <w:rsid w:val="1BE86120"/>
    <w:rsid w:val="1C3C2596"/>
    <w:rsid w:val="1C4C1CA3"/>
    <w:rsid w:val="1C730FDE"/>
    <w:rsid w:val="1CC318B8"/>
    <w:rsid w:val="1CF57C45"/>
    <w:rsid w:val="1D0D5ADF"/>
    <w:rsid w:val="1DB50F33"/>
    <w:rsid w:val="1DCD0BC2"/>
    <w:rsid w:val="1E24602D"/>
    <w:rsid w:val="1E7025DB"/>
    <w:rsid w:val="1F016D75"/>
    <w:rsid w:val="1F226CEB"/>
    <w:rsid w:val="1F823AF7"/>
    <w:rsid w:val="1FFC12EA"/>
    <w:rsid w:val="208A0FEC"/>
    <w:rsid w:val="2123408C"/>
    <w:rsid w:val="21577120"/>
    <w:rsid w:val="21A04B12"/>
    <w:rsid w:val="21D836DE"/>
    <w:rsid w:val="21DE15EF"/>
    <w:rsid w:val="22632F8C"/>
    <w:rsid w:val="22883309"/>
    <w:rsid w:val="22B91715"/>
    <w:rsid w:val="22D16817"/>
    <w:rsid w:val="235D6783"/>
    <w:rsid w:val="23893C48"/>
    <w:rsid w:val="23D36806"/>
    <w:rsid w:val="245636BF"/>
    <w:rsid w:val="24747FE9"/>
    <w:rsid w:val="25A14E0E"/>
    <w:rsid w:val="26025181"/>
    <w:rsid w:val="2629095F"/>
    <w:rsid w:val="269A49CD"/>
    <w:rsid w:val="26B20955"/>
    <w:rsid w:val="281E66E3"/>
    <w:rsid w:val="284066DD"/>
    <w:rsid w:val="286B525F"/>
    <w:rsid w:val="288822B5"/>
    <w:rsid w:val="28DC615D"/>
    <w:rsid w:val="29FC3482"/>
    <w:rsid w:val="2A0873C7"/>
    <w:rsid w:val="2A647027"/>
    <w:rsid w:val="2AAD6003"/>
    <w:rsid w:val="2B243DBF"/>
    <w:rsid w:val="2B7037B2"/>
    <w:rsid w:val="2CAB47C4"/>
    <w:rsid w:val="2D9A0C12"/>
    <w:rsid w:val="2DA059AB"/>
    <w:rsid w:val="2E0C3040"/>
    <w:rsid w:val="2E5D477B"/>
    <w:rsid w:val="2E750BE6"/>
    <w:rsid w:val="2E7A032A"/>
    <w:rsid w:val="2EB33E33"/>
    <w:rsid w:val="2F234AE5"/>
    <w:rsid w:val="2F4955B7"/>
    <w:rsid w:val="2F562170"/>
    <w:rsid w:val="30290DBA"/>
    <w:rsid w:val="30CA2517"/>
    <w:rsid w:val="31320001"/>
    <w:rsid w:val="31BE4652"/>
    <w:rsid w:val="32A221C5"/>
    <w:rsid w:val="337E678E"/>
    <w:rsid w:val="33CA5530"/>
    <w:rsid w:val="34192013"/>
    <w:rsid w:val="34B85698"/>
    <w:rsid w:val="35197428"/>
    <w:rsid w:val="35E86141"/>
    <w:rsid w:val="368F4A38"/>
    <w:rsid w:val="372938E0"/>
    <w:rsid w:val="373C02E8"/>
    <w:rsid w:val="37E2277D"/>
    <w:rsid w:val="37E335F2"/>
    <w:rsid w:val="37F84F35"/>
    <w:rsid w:val="38165E5D"/>
    <w:rsid w:val="38E17A92"/>
    <w:rsid w:val="391138BB"/>
    <w:rsid w:val="39F3557E"/>
    <w:rsid w:val="3A467504"/>
    <w:rsid w:val="3A5C4FC6"/>
    <w:rsid w:val="3AB6267D"/>
    <w:rsid w:val="3AD14E21"/>
    <w:rsid w:val="3AD918BB"/>
    <w:rsid w:val="3CAD1E92"/>
    <w:rsid w:val="3CB13C1F"/>
    <w:rsid w:val="3D41280B"/>
    <w:rsid w:val="3D6A7D83"/>
    <w:rsid w:val="3E3D2DA2"/>
    <w:rsid w:val="3EC82FB3"/>
    <w:rsid w:val="3F4C14EF"/>
    <w:rsid w:val="3FD024DC"/>
    <w:rsid w:val="405C233C"/>
    <w:rsid w:val="40A67D91"/>
    <w:rsid w:val="411A73CB"/>
    <w:rsid w:val="418C2681"/>
    <w:rsid w:val="41AB2F2C"/>
    <w:rsid w:val="41E40104"/>
    <w:rsid w:val="41F22153"/>
    <w:rsid w:val="42FA74B4"/>
    <w:rsid w:val="445F7F16"/>
    <w:rsid w:val="447B197D"/>
    <w:rsid w:val="44C2122F"/>
    <w:rsid w:val="44E26451"/>
    <w:rsid w:val="44E328F5"/>
    <w:rsid w:val="44F05012"/>
    <w:rsid w:val="451B0EA7"/>
    <w:rsid w:val="451E1B02"/>
    <w:rsid w:val="45210E24"/>
    <w:rsid w:val="45695656"/>
    <w:rsid w:val="458F482B"/>
    <w:rsid w:val="45D456DA"/>
    <w:rsid w:val="461865CE"/>
    <w:rsid w:val="461D03F7"/>
    <w:rsid w:val="46646492"/>
    <w:rsid w:val="46947B83"/>
    <w:rsid w:val="47411B55"/>
    <w:rsid w:val="474D04FA"/>
    <w:rsid w:val="47940BE8"/>
    <w:rsid w:val="4796216E"/>
    <w:rsid w:val="479E6FA7"/>
    <w:rsid w:val="47E72350"/>
    <w:rsid w:val="48272AF9"/>
    <w:rsid w:val="48284B85"/>
    <w:rsid w:val="492359B6"/>
    <w:rsid w:val="497C4B0C"/>
    <w:rsid w:val="4A0F5F3A"/>
    <w:rsid w:val="4A233794"/>
    <w:rsid w:val="4A3067A0"/>
    <w:rsid w:val="4ABB4275"/>
    <w:rsid w:val="4B067543"/>
    <w:rsid w:val="4B1732F9"/>
    <w:rsid w:val="4BB40B47"/>
    <w:rsid w:val="4BC2773D"/>
    <w:rsid w:val="4C2E3A2C"/>
    <w:rsid w:val="4C3351E5"/>
    <w:rsid w:val="4C5A5F45"/>
    <w:rsid w:val="4CA02E7A"/>
    <w:rsid w:val="4D1B5020"/>
    <w:rsid w:val="4D4639BD"/>
    <w:rsid w:val="4D9D560B"/>
    <w:rsid w:val="4DFB6D6B"/>
    <w:rsid w:val="4ED922A8"/>
    <w:rsid w:val="4EE002CE"/>
    <w:rsid w:val="4F4B79F8"/>
    <w:rsid w:val="4F6C6E7A"/>
    <w:rsid w:val="501917D7"/>
    <w:rsid w:val="50463D38"/>
    <w:rsid w:val="50A868B7"/>
    <w:rsid w:val="51BD002A"/>
    <w:rsid w:val="523A5B1F"/>
    <w:rsid w:val="527F1783"/>
    <w:rsid w:val="53456529"/>
    <w:rsid w:val="54063F0A"/>
    <w:rsid w:val="54335B48"/>
    <w:rsid w:val="54415431"/>
    <w:rsid w:val="548337AD"/>
    <w:rsid w:val="54DF0CD3"/>
    <w:rsid w:val="567D422C"/>
    <w:rsid w:val="56D4639E"/>
    <w:rsid w:val="571437F0"/>
    <w:rsid w:val="578962FF"/>
    <w:rsid w:val="57E00F16"/>
    <w:rsid w:val="581D7A74"/>
    <w:rsid w:val="58970BA2"/>
    <w:rsid w:val="589D2AC6"/>
    <w:rsid w:val="598C3104"/>
    <w:rsid w:val="5A122558"/>
    <w:rsid w:val="5ACE2CDE"/>
    <w:rsid w:val="5C25514A"/>
    <w:rsid w:val="5C2E2250"/>
    <w:rsid w:val="5C9F2D5E"/>
    <w:rsid w:val="5D891708"/>
    <w:rsid w:val="5D9C5878"/>
    <w:rsid w:val="5DEC77AF"/>
    <w:rsid w:val="5DED1C97"/>
    <w:rsid w:val="5E5F78BF"/>
    <w:rsid w:val="5E8819C0"/>
    <w:rsid w:val="5F2B1F4F"/>
    <w:rsid w:val="5F355CB5"/>
    <w:rsid w:val="5F816B3B"/>
    <w:rsid w:val="5FAF68C7"/>
    <w:rsid w:val="5FB64290"/>
    <w:rsid w:val="5FC23025"/>
    <w:rsid w:val="60711DEF"/>
    <w:rsid w:val="60894991"/>
    <w:rsid w:val="60E26F9B"/>
    <w:rsid w:val="611F03B9"/>
    <w:rsid w:val="613A6C2C"/>
    <w:rsid w:val="6152499D"/>
    <w:rsid w:val="61BE4076"/>
    <w:rsid w:val="62001846"/>
    <w:rsid w:val="62073330"/>
    <w:rsid w:val="62C51434"/>
    <w:rsid w:val="630755A9"/>
    <w:rsid w:val="64664551"/>
    <w:rsid w:val="649153C5"/>
    <w:rsid w:val="650E0E71"/>
    <w:rsid w:val="65FF6A0B"/>
    <w:rsid w:val="66081ABD"/>
    <w:rsid w:val="661701F9"/>
    <w:rsid w:val="66652D12"/>
    <w:rsid w:val="667E066E"/>
    <w:rsid w:val="66D70628"/>
    <w:rsid w:val="6750540E"/>
    <w:rsid w:val="6759214B"/>
    <w:rsid w:val="681F2B7E"/>
    <w:rsid w:val="68763722"/>
    <w:rsid w:val="6884594D"/>
    <w:rsid w:val="68B7537B"/>
    <w:rsid w:val="691C1682"/>
    <w:rsid w:val="691E5254"/>
    <w:rsid w:val="69E76134"/>
    <w:rsid w:val="6AB269D5"/>
    <w:rsid w:val="6AE306AA"/>
    <w:rsid w:val="6B9D486E"/>
    <w:rsid w:val="6BA529CA"/>
    <w:rsid w:val="6BEC358E"/>
    <w:rsid w:val="6C3D203B"/>
    <w:rsid w:val="6C692E30"/>
    <w:rsid w:val="6D110B8C"/>
    <w:rsid w:val="6D99715F"/>
    <w:rsid w:val="6DCF4F15"/>
    <w:rsid w:val="6DFA5E6B"/>
    <w:rsid w:val="6E39388B"/>
    <w:rsid w:val="6E405E13"/>
    <w:rsid w:val="6E682806"/>
    <w:rsid w:val="6E6935BC"/>
    <w:rsid w:val="6E7D7067"/>
    <w:rsid w:val="6ED24CBD"/>
    <w:rsid w:val="6FA56875"/>
    <w:rsid w:val="702E3539"/>
    <w:rsid w:val="709720CF"/>
    <w:rsid w:val="712437CA"/>
    <w:rsid w:val="72B62B48"/>
    <w:rsid w:val="72D97FBE"/>
    <w:rsid w:val="72EB1D41"/>
    <w:rsid w:val="72F86E2E"/>
    <w:rsid w:val="73AB4DA6"/>
    <w:rsid w:val="75324707"/>
    <w:rsid w:val="76762330"/>
    <w:rsid w:val="77185B7F"/>
    <w:rsid w:val="7855113E"/>
    <w:rsid w:val="78594D37"/>
    <w:rsid w:val="789143F5"/>
    <w:rsid w:val="792A3948"/>
    <w:rsid w:val="79AA0CC7"/>
    <w:rsid w:val="79EE58A4"/>
    <w:rsid w:val="7A291E51"/>
    <w:rsid w:val="7A3B22B0"/>
    <w:rsid w:val="7A8316B7"/>
    <w:rsid w:val="7B533629"/>
    <w:rsid w:val="7BD302C6"/>
    <w:rsid w:val="7BD73158"/>
    <w:rsid w:val="7C44021E"/>
    <w:rsid w:val="7C4453CC"/>
    <w:rsid w:val="7C466CEA"/>
    <w:rsid w:val="7C9932BE"/>
    <w:rsid w:val="7CC0084B"/>
    <w:rsid w:val="7CD36E26"/>
    <w:rsid w:val="7D3D4AFE"/>
    <w:rsid w:val="7D90733C"/>
    <w:rsid w:val="7DB75640"/>
    <w:rsid w:val="7E8F57AF"/>
    <w:rsid w:val="7EB10CEF"/>
    <w:rsid w:val="7F1F3F5C"/>
    <w:rsid w:val="7F460DAF"/>
    <w:rsid w:val="7F930498"/>
    <w:rsid w:val="7FA129E2"/>
    <w:rsid w:val="7FAC50B6"/>
    <w:rsid w:val="7FB34146"/>
    <w:rsid w:val="7FCD4631"/>
    <w:rsid w:val="7FEB7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jc w:val="center"/>
    </w:pPr>
    <w:rPr>
      <w:rFonts w:eastAsia="文星简小标宋"/>
      <w:sz w:val="44"/>
      <w:szCs w:val="20"/>
    </w:rPr>
  </w:style>
  <w:style w:type="paragraph" w:styleId="3">
    <w:name w:val="Body Text First Indent"/>
    <w:basedOn w:val="2"/>
    <w:next w:val="1"/>
    <w:qFormat/>
    <w:uiPriority w:val="0"/>
    <w:pPr>
      <w:ind w:firstLine="420" w:firstLineChars="100"/>
    </w:pPr>
  </w:style>
  <w:style w:type="paragraph" w:styleId="4">
    <w:name w:val="Body Text Indent"/>
    <w:basedOn w:val="1"/>
    <w:qFormat/>
    <w:uiPriority w:val="0"/>
    <w:pPr>
      <w:spacing w:line="600" w:lineRule="atLeast"/>
      <w:ind w:firstLine="600"/>
    </w:pPr>
    <w:rPr>
      <w:rFonts w:ascii="方正仿宋简体" w:eastAsia="方正仿宋简体"/>
      <w:spacing w:val="-4"/>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Body Text First Indent 2"/>
    <w:basedOn w:val="4"/>
    <w:qFormat/>
    <w:uiPriority w:val="0"/>
    <w:pPr>
      <w:ind w:firstLine="420"/>
    </w:pPr>
  </w:style>
  <w:style w:type="character" w:styleId="9">
    <w:name w:val="page number"/>
    <w:basedOn w:val="8"/>
    <w:qFormat/>
    <w:uiPriority w:val="0"/>
  </w:style>
  <w:style w:type="character" w:styleId="10">
    <w:name w:val="Hyperlink"/>
    <w:basedOn w:val="8"/>
    <w:qFormat/>
    <w:uiPriority w:val="0"/>
    <w:rPr>
      <w:color w:val="00000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5781</Words>
  <Characters>5963</Characters>
  <Lines>0</Lines>
  <Paragraphs>0</Paragraphs>
  <TotalTime>30</TotalTime>
  <ScaleCrop>false</ScaleCrop>
  <LinksUpToDate>false</LinksUpToDate>
  <CharactersWithSpaces>6546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2022-02-07T07:53:00Z</dcterms:created>
  <dc:creator>15757187539</dc:creator>
  <cp:lastModifiedBy>再遇见</cp:lastModifiedBy>
  <cp:lastPrinted>2022-04-27T07:53:00Z</cp:lastPrinted>
  <dcterms:modified xsi:type="dcterms:W3CDTF">2022-04-29T02:15:11Z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F76F9058DEF74E27ABEEEDD058602DFD</vt:lpwstr>
  </property>
  <property fmtid="{D5CDD505-2E9C-101B-9397-08002B2CF9AE}" pid="4" name="commondata">
    <vt:lpwstr>eyJoZGlkIjoiYTM3NTcyNjdkNjliNDc2NDdjYWYzNGY4NDI1YmU1ZWQifQ==</vt:lpwstr>
  </property>
</Properties>
</file>