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222" w:line="560" w:lineRule="exact"/>
        <w:jc w:val="center"/>
        <w:textAlignment w:val="baseline"/>
        <w:rPr>
          <w:rFonts w:ascii="方正小标宋简体" w:hAnsi="方正小标宋简体" w:eastAsia="方正小标宋简体" w:cs="方正小标宋简体"/>
          <w:snapToGrid w:val="0"/>
          <w:color w:val="000000"/>
          <w:sz w:val="44"/>
          <w:szCs w:val="44"/>
          <w:lang w:eastAsia="zh-CN"/>
        </w:rPr>
      </w:pPr>
      <w:bookmarkStart w:id="1" w:name="_GoBack"/>
      <w:r>
        <w:rPr>
          <w:rFonts w:hint="eastAsia" w:ascii="方正小标宋简体" w:hAnsi="方正小标宋简体" w:eastAsia="方正小标宋简体" w:cs="方正小标宋简体"/>
          <w:snapToGrid w:val="0"/>
          <w:color w:val="000000"/>
          <w:sz w:val="44"/>
          <w:szCs w:val="44"/>
          <w:lang w:eastAsia="zh-CN"/>
        </w:rPr>
        <w:t>浙江永嘉抽水蓄能电站</w:t>
      </w:r>
    </w:p>
    <w:p>
      <w:pPr>
        <w:widowControl/>
        <w:kinsoku w:val="0"/>
        <w:autoSpaceDE w:val="0"/>
        <w:autoSpaceDN w:val="0"/>
        <w:adjustRightInd w:val="0"/>
        <w:snapToGrid w:val="0"/>
        <w:spacing w:before="222" w:line="560" w:lineRule="exact"/>
        <w:jc w:val="center"/>
        <w:textAlignment w:val="baseline"/>
        <w:rPr>
          <w:rFonts w:ascii="方正小标宋简体" w:hAnsi="方正小标宋简体" w:eastAsia="方正小标宋简体" w:cs="方正小标宋简体"/>
          <w:snapToGrid w:val="0"/>
          <w:color w:val="000000"/>
          <w:sz w:val="44"/>
          <w:szCs w:val="44"/>
          <w:lang w:eastAsia="zh-CN"/>
        </w:rPr>
      </w:pPr>
      <w:r>
        <w:rPr>
          <w:rFonts w:hint="eastAsia" w:ascii="方正小标宋简体" w:hAnsi="方正小标宋简体" w:eastAsia="方正小标宋简体" w:cs="方正小标宋简体"/>
          <w:snapToGrid w:val="0"/>
          <w:color w:val="000000"/>
          <w:sz w:val="44"/>
          <w:szCs w:val="44"/>
          <w:lang w:eastAsia="zh-CN"/>
        </w:rPr>
        <w:t>建设征地补偿和移民</w:t>
      </w:r>
      <w:r>
        <w:rPr>
          <w:rFonts w:ascii="方正小标宋简体" w:hAnsi="方正小标宋简体" w:eastAsia="方正小标宋简体" w:cs="方正小标宋简体"/>
          <w:snapToGrid w:val="0"/>
          <w:color w:val="000000"/>
          <w:sz w:val="44"/>
          <w:szCs w:val="44"/>
          <w:lang w:eastAsia="zh-CN"/>
        </w:rPr>
        <w:t>安置</w:t>
      </w:r>
      <w:r>
        <w:rPr>
          <w:rFonts w:hint="eastAsia" w:ascii="方正小标宋简体" w:hAnsi="方正小标宋简体" w:eastAsia="方正小标宋简体" w:cs="方正小标宋简体"/>
          <w:snapToGrid w:val="0"/>
          <w:color w:val="000000"/>
          <w:sz w:val="44"/>
          <w:szCs w:val="44"/>
          <w:lang w:eastAsia="zh-CN"/>
        </w:rPr>
        <w:t>实施</w:t>
      </w:r>
      <w:r>
        <w:rPr>
          <w:rFonts w:ascii="方正小标宋简体" w:hAnsi="方正小标宋简体" w:eastAsia="方正小标宋简体" w:cs="方正小标宋简体"/>
          <w:snapToGrid w:val="0"/>
          <w:color w:val="000000"/>
          <w:sz w:val="44"/>
          <w:szCs w:val="44"/>
          <w:lang w:eastAsia="zh-CN"/>
        </w:rPr>
        <w:t>方案</w:t>
      </w:r>
    </w:p>
    <w:p>
      <w:pPr>
        <w:widowControl/>
        <w:kinsoku w:val="0"/>
        <w:autoSpaceDE w:val="0"/>
        <w:autoSpaceDN w:val="0"/>
        <w:adjustRightInd w:val="0"/>
        <w:snapToGrid w:val="0"/>
        <w:spacing w:before="222" w:line="560" w:lineRule="exact"/>
        <w:jc w:val="center"/>
        <w:textAlignment w:val="baseline"/>
        <w:rPr>
          <w:rFonts w:hint="default" w:ascii="方正小标宋简体" w:hAnsi="方正小标宋简体" w:eastAsia="方正小标宋简体" w:cs="方正小标宋简体"/>
          <w:snapToGrid w:val="0"/>
          <w:color w:val="000000"/>
          <w:sz w:val="44"/>
          <w:szCs w:val="44"/>
          <w:lang w:val="en" w:eastAsia="zh-CN"/>
        </w:rPr>
      </w:pPr>
      <w:r>
        <w:rPr>
          <w:rFonts w:ascii="方正小标宋简体" w:hAnsi="方正小标宋简体" w:eastAsia="方正小标宋简体" w:cs="方正小标宋简体"/>
          <w:snapToGrid w:val="0"/>
          <w:color w:val="000000"/>
          <w:sz w:val="44"/>
          <w:szCs w:val="44"/>
          <w:lang w:eastAsia="zh-CN"/>
        </w:rPr>
        <w:t>（征求意见稿）</w:t>
      </w:r>
    </w:p>
    <w:bookmarkEnd w:id="1"/>
    <w:p>
      <w:pPr>
        <w:spacing w:before="11" w:line="560" w:lineRule="exact"/>
        <w:ind w:firstLine="800" w:firstLineChars="200"/>
        <w:rPr>
          <w:rFonts w:ascii="方正小标宋_GBK" w:hAnsi="方正小标宋_GBK" w:eastAsia="方正小标宋_GBK" w:cs="方正小标宋_GBK"/>
          <w:sz w:val="40"/>
          <w:szCs w:val="40"/>
          <w:lang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r>
        <w:rPr>
          <w:rFonts w:ascii="黑体" w:hAnsi="黑体" w:eastAsia="黑体" w:cs="黑体"/>
          <w:lang w:eastAsia="zh-CN"/>
        </w:rPr>
        <w:t>第一章</w:t>
      </w:r>
      <w:r>
        <w:rPr>
          <w:rFonts w:hint="eastAsia" w:ascii="黑体" w:hAnsi="黑体" w:eastAsia="黑体" w:cs="黑体"/>
          <w:lang w:eastAsia="zh-CN"/>
        </w:rPr>
        <w:t xml:space="preserve"> </w:t>
      </w:r>
      <w:r>
        <w:rPr>
          <w:rFonts w:ascii="黑体" w:hAnsi="黑体" w:eastAsia="黑体" w:cs="黑体"/>
          <w:lang w:eastAsia="zh-CN"/>
        </w:rPr>
        <w:t>总则</w:t>
      </w:r>
    </w:p>
    <w:p>
      <w:pPr>
        <w:pStyle w:val="3"/>
        <w:tabs>
          <w:tab w:val="left" w:pos="0"/>
        </w:tabs>
        <w:adjustRightInd w:val="0"/>
        <w:snapToGrid w:val="0"/>
        <w:spacing w:before="240" w:beforeLines="100" w:after="240" w:afterLines="100" w:line="560" w:lineRule="exact"/>
        <w:ind w:left="0" w:firstLineChars="200"/>
        <w:contextualSpacing/>
        <w:jc w:val="center"/>
        <w:rPr>
          <w:rFonts w:ascii="黑体" w:hAnsi="黑体" w:eastAsia="黑体" w:cs="黑体"/>
          <w:lang w:eastAsia="zh-CN"/>
        </w:rPr>
      </w:pPr>
    </w:p>
    <w:p>
      <w:pPr>
        <w:pStyle w:val="3"/>
        <w:snapToGrid w:val="0"/>
        <w:spacing w:before="100" w:beforeAutospacing="1" w:after="100" w:afterAutospacing="1" w:line="560" w:lineRule="exact"/>
        <w:ind w:firstLine="643" w:firstLineChars="200"/>
        <w:contextualSpacing/>
        <w:jc w:val="both"/>
        <w:rPr>
          <w:rFonts w:cs="仿宋_GB2312"/>
          <w:color w:val="000000"/>
          <w:lang w:eastAsia="zh-CN"/>
        </w:rPr>
      </w:pPr>
      <w:r>
        <w:rPr>
          <w:rFonts w:ascii="黑体" w:hAnsi="黑体" w:eastAsia="黑体" w:cs="黑体"/>
          <w:b/>
          <w:bCs/>
          <w:lang w:eastAsia="zh-CN"/>
        </w:rPr>
        <w:t>第一条</w:t>
      </w:r>
      <w:r>
        <w:rPr>
          <w:rFonts w:hint="eastAsia" w:ascii="黑体" w:hAnsi="黑体" w:eastAsia="黑体" w:cs="黑体"/>
          <w:lang w:eastAsia="zh-CN"/>
        </w:rPr>
        <w:t xml:space="preserve"> </w:t>
      </w:r>
      <w:r>
        <w:rPr>
          <w:rFonts w:ascii="黑体" w:hAnsi="黑体" w:eastAsia="黑体" w:cs="黑体"/>
          <w:lang w:eastAsia="zh-CN"/>
        </w:rPr>
        <w:t xml:space="preserve"> </w:t>
      </w:r>
      <w:r>
        <w:rPr>
          <w:rFonts w:hint="eastAsia" w:cs="仿宋_GB2312"/>
          <w:snapToGrid w:val="0"/>
          <w:color w:val="000000"/>
          <w:spacing w:val="-3"/>
          <w:lang w:eastAsia="zh-CN"/>
        </w:rPr>
        <w:t>为</w:t>
      </w:r>
      <w:r>
        <w:rPr>
          <w:rFonts w:hint="eastAsia"/>
          <w:lang w:eastAsia="zh-CN"/>
        </w:rPr>
        <w:t>确保浙江永嘉抽水蓄能电站（以下简称永嘉抽蓄）顺利建设实施，切实维护征地移民合法权益，根据《中华人民共和国土地管理法》《大中型水利水电工程建设征地补偿和移民安置条例》《浙江省土地管理条例》等相关法律、法规、规章、政策以及</w:t>
      </w:r>
      <w:r>
        <w:rPr>
          <w:rFonts w:hint="eastAsia" w:cs="仿宋_GB2312"/>
          <w:color w:val="000000"/>
          <w:lang w:eastAsia="zh-CN"/>
        </w:rPr>
        <w:t>《浙江省人民政府关于浙江永嘉抽水蓄能电站工程占地和淹没区实物指标调查有关问题的批复》（浙政函〔2022〕143 号）、《浙江省人民政府关于禁止在浙江永嘉抽水蓄能电站工程占地和淹没区新增建设项目和迁入人口的通告》（以下简称停建通告）、《浙江省人民政府关于浙江永嘉抽水蓄能电站建设征地移民安置规划大纲的批复》(浙政函〔2022〕1</w:t>
      </w:r>
      <w:r>
        <w:rPr>
          <w:rFonts w:cs="仿宋_GB2312"/>
          <w:color w:val="000000"/>
          <w:lang w:eastAsia="zh-CN"/>
        </w:rPr>
        <w:t>66</w:t>
      </w:r>
      <w:r>
        <w:rPr>
          <w:rFonts w:hint="eastAsia" w:cs="仿宋_GB2312"/>
          <w:color w:val="000000"/>
          <w:lang w:eastAsia="zh-CN"/>
        </w:rPr>
        <w:t xml:space="preserve"> 号)、</w:t>
      </w:r>
      <w:r>
        <w:rPr>
          <w:rFonts w:hint="eastAsia"/>
          <w:lang w:eastAsia="zh-CN"/>
        </w:rPr>
        <w:t>《浙江省水库移民安置办公室关于浙江永嘉抽水蓄能电站建设征地移民安置规划报告的审核意见》</w:t>
      </w:r>
      <w:r>
        <w:rPr>
          <w:rFonts w:hint="eastAsia" w:cs="仿宋_GB2312"/>
          <w:color w:val="000000"/>
          <w:lang w:eastAsia="zh-CN"/>
        </w:rPr>
        <w:t>(浙移安〔202</w:t>
      </w:r>
      <w:r>
        <w:rPr>
          <w:rFonts w:cs="仿宋_GB2312"/>
          <w:color w:val="000000"/>
          <w:lang w:eastAsia="zh-CN"/>
        </w:rPr>
        <w:t>3</w:t>
      </w:r>
      <w:r>
        <w:rPr>
          <w:rFonts w:hint="eastAsia" w:cs="仿宋_GB2312"/>
          <w:color w:val="000000"/>
          <w:lang w:eastAsia="zh-CN"/>
        </w:rPr>
        <w:t>〕</w:t>
      </w:r>
      <w:r>
        <w:rPr>
          <w:rFonts w:cs="仿宋_GB2312"/>
          <w:color w:val="000000"/>
          <w:lang w:eastAsia="zh-CN"/>
        </w:rPr>
        <w:t>21</w:t>
      </w:r>
      <w:r>
        <w:rPr>
          <w:rFonts w:hint="eastAsia" w:cs="仿宋_GB2312"/>
          <w:color w:val="000000"/>
          <w:lang w:eastAsia="zh-CN"/>
        </w:rPr>
        <w:t>号)</w:t>
      </w:r>
      <w:r>
        <w:rPr>
          <w:rFonts w:hint="eastAsia"/>
          <w:lang w:eastAsia="zh-CN"/>
        </w:rPr>
        <w:t>，结合永嘉县实际，制定本实施方案。</w:t>
      </w:r>
    </w:p>
    <w:p>
      <w:pPr>
        <w:pStyle w:val="3"/>
        <w:snapToGrid w:val="0"/>
        <w:spacing w:before="100" w:beforeAutospacing="1" w:after="100" w:afterAutospacing="1" w:line="560" w:lineRule="exact"/>
        <w:ind w:left="0" w:firstLine="671" w:firstLineChars="200"/>
        <w:contextualSpacing/>
        <w:jc w:val="both"/>
        <w:rPr>
          <w:lang w:eastAsia="zh-CN"/>
        </w:rPr>
      </w:pPr>
      <w:r>
        <w:rPr>
          <w:rFonts w:ascii="黑体" w:hAnsi="黑体" w:eastAsia="黑体" w:cs="黑体"/>
          <w:b/>
          <w:bCs/>
          <w:spacing w:val="7"/>
          <w:lang w:eastAsia="zh-CN"/>
        </w:rPr>
        <w:t>第二条</w:t>
      </w:r>
      <w:r>
        <w:rPr>
          <w:rFonts w:hint="eastAsia" w:ascii="黑体" w:hAnsi="黑体" w:eastAsia="黑体" w:cs="黑体"/>
          <w:spacing w:val="7"/>
          <w:lang w:eastAsia="zh-CN"/>
        </w:rPr>
        <w:t xml:space="preserve"> </w:t>
      </w:r>
      <w:r>
        <w:rPr>
          <w:rFonts w:ascii="黑体" w:hAnsi="黑体" w:eastAsia="黑体" w:cs="黑体"/>
          <w:spacing w:val="7"/>
          <w:lang w:eastAsia="zh-CN"/>
        </w:rPr>
        <w:t xml:space="preserve"> </w:t>
      </w:r>
      <w:r>
        <w:rPr>
          <w:rFonts w:hint="eastAsia"/>
          <w:lang w:eastAsia="zh-CN"/>
        </w:rPr>
        <w:t>本方案适用于指导</w:t>
      </w:r>
      <w:r>
        <w:rPr>
          <w:rFonts w:hint="eastAsia" w:cs="仿宋_GB2312"/>
          <w:color w:val="000000"/>
          <w:lang w:eastAsia="zh-CN"/>
        </w:rPr>
        <w:t>永嘉抽水蓄能电站工程</w:t>
      </w:r>
      <w:r>
        <w:rPr>
          <w:rFonts w:hint="eastAsia"/>
          <w:lang w:eastAsia="zh-CN"/>
        </w:rPr>
        <w:t>建设范围内的建设征地实物补偿和移民安置工作。项目建设范围包括水库淹没影响区、工程建设区等，具体以审批的项目征地红线范围为准。</w:t>
      </w:r>
    </w:p>
    <w:p>
      <w:pPr>
        <w:pStyle w:val="3"/>
        <w:snapToGrid w:val="0"/>
        <w:spacing w:before="100" w:beforeAutospacing="1" w:after="100" w:afterAutospacing="1" w:line="560" w:lineRule="exact"/>
        <w:ind w:left="0" w:firstLine="671" w:firstLineChars="200"/>
        <w:contextualSpacing/>
        <w:jc w:val="both"/>
        <w:rPr>
          <w:lang w:eastAsia="zh-CN"/>
        </w:rPr>
      </w:pPr>
      <w:r>
        <w:rPr>
          <w:rFonts w:ascii="黑体" w:hAnsi="黑体" w:eastAsia="黑体" w:cs="黑体"/>
          <w:b/>
          <w:bCs/>
          <w:spacing w:val="7"/>
          <w:lang w:eastAsia="zh-CN"/>
        </w:rPr>
        <w:t>第</w:t>
      </w:r>
      <w:r>
        <w:rPr>
          <w:rFonts w:hint="eastAsia" w:ascii="黑体" w:hAnsi="黑体" w:eastAsia="黑体" w:cs="黑体"/>
          <w:b/>
          <w:bCs/>
          <w:spacing w:val="7"/>
          <w:lang w:eastAsia="zh-CN"/>
        </w:rPr>
        <w:t>三</w:t>
      </w:r>
      <w:r>
        <w:rPr>
          <w:rFonts w:ascii="黑体" w:hAnsi="黑体" w:eastAsia="黑体" w:cs="黑体"/>
          <w:b/>
          <w:bCs/>
          <w:spacing w:val="7"/>
          <w:lang w:eastAsia="zh-CN"/>
        </w:rPr>
        <w:t>条</w:t>
      </w:r>
      <w:r>
        <w:rPr>
          <w:rFonts w:hint="eastAsia" w:ascii="黑体" w:hAnsi="黑体" w:eastAsia="黑体" w:cs="黑体"/>
          <w:spacing w:val="7"/>
          <w:lang w:eastAsia="zh-CN"/>
        </w:rPr>
        <w:t xml:space="preserve"> </w:t>
      </w:r>
      <w:r>
        <w:rPr>
          <w:rFonts w:ascii="黑体" w:hAnsi="黑体" w:eastAsia="黑体" w:cs="黑体"/>
          <w:spacing w:val="7"/>
          <w:lang w:eastAsia="zh-CN"/>
        </w:rPr>
        <w:t xml:space="preserve"> </w:t>
      </w:r>
      <w:r>
        <w:rPr>
          <w:rFonts w:ascii="Calibri" w:hAnsi="Calibri" w:cs="Calibri"/>
          <w:lang w:eastAsia="zh-CN"/>
        </w:rPr>
        <w:t> </w:t>
      </w:r>
      <w:r>
        <w:rPr>
          <w:rFonts w:hint="eastAsia" w:cs="仿宋_GB2312"/>
          <w:color w:val="000000" w:themeColor="text1"/>
          <w:u w:color="000000"/>
          <w:lang w:eastAsia="zh-CN"/>
          <w14:textFill>
            <w14:solidFill>
              <w14:schemeClr w14:val="tx1"/>
            </w14:solidFill>
          </w14:textFill>
        </w:rPr>
        <w:t>建设征地和</w:t>
      </w:r>
      <w:r>
        <w:rPr>
          <w:rFonts w:cs="仿宋_GB2312"/>
          <w:color w:val="000000" w:themeColor="text1"/>
          <w:u w:color="000000"/>
          <w:lang w:eastAsia="zh-CN"/>
          <w14:textFill>
            <w14:solidFill>
              <w14:schemeClr w14:val="tx1"/>
            </w14:solidFill>
          </w14:textFill>
        </w:rPr>
        <w:t>移</w:t>
      </w:r>
      <w:r>
        <w:rPr>
          <w:lang w:eastAsia="zh-CN"/>
        </w:rPr>
        <w:t>民安置工作应遵循下列原则：</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cs="仿宋_GB2312"/>
          <w:color w:val="000000" w:themeColor="text1"/>
          <w:u w:color="000000"/>
          <w:lang w:eastAsia="zh-CN"/>
          <w14:textFill>
            <w14:solidFill>
              <w14:schemeClr w14:val="tx1"/>
            </w14:solidFill>
          </w14:textFill>
        </w:rPr>
        <w:t>（一）贯彻执行国家大中型水库建设有关法律法规，正确处理国家、集体和个人三者利益关系；</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cs="仿宋_GB2312"/>
          <w:color w:val="000000" w:themeColor="text1"/>
          <w:u w:color="000000"/>
          <w:lang w:eastAsia="zh-CN"/>
          <w14:textFill>
            <w14:solidFill>
              <w14:schemeClr w14:val="tx1"/>
            </w14:solidFill>
          </w14:textFill>
        </w:rPr>
        <w:t>（二）坚持实事求是和公开、公平、公正的原则；</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cs="仿宋_GB2312"/>
          <w:color w:val="000000" w:themeColor="text1"/>
          <w:u w:color="000000"/>
          <w:lang w:eastAsia="zh-CN"/>
          <w14:textFill>
            <w14:solidFill>
              <w14:schemeClr w14:val="tx1"/>
            </w14:solidFill>
          </w14:textFill>
        </w:rPr>
        <w:t>（三）坚持以人为本、保障权益、节约土地、持续发展、因地制宜的原则； </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cs="仿宋_GB2312"/>
          <w:color w:val="000000" w:themeColor="text1"/>
          <w:u w:color="000000"/>
          <w:lang w:eastAsia="zh-CN"/>
          <w14:textFill>
            <w14:solidFill>
              <w14:schemeClr w14:val="tx1"/>
            </w14:solidFill>
          </w14:textFill>
        </w:rPr>
        <w:t>（四）坚持可持续发展与资源综合开发利用、生态环境保护相协调</w:t>
      </w:r>
      <w:r>
        <w:rPr>
          <w:rFonts w:hint="eastAsia" w:cs="仿宋_GB2312"/>
          <w:color w:val="000000" w:themeColor="text1"/>
          <w:u w:color="000000"/>
          <w:lang w:eastAsia="zh-CN"/>
          <w14:textFill>
            <w14:solidFill>
              <w14:schemeClr w14:val="tx1"/>
            </w14:solidFill>
          </w14:textFill>
        </w:rPr>
        <w:t>。</w:t>
      </w:r>
    </w:p>
    <w:p>
      <w:pPr>
        <w:pStyle w:val="3"/>
        <w:snapToGrid w:val="0"/>
        <w:spacing w:before="100" w:beforeAutospacing="1" w:after="100" w:afterAutospacing="1" w:line="560" w:lineRule="exact"/>
        <w:ind w:left="0" w:firstLine="671" w:firstLineChars="200"/>
        <w:contextualSpacing/>
        <w:jc w:val="both"/>
        <w:rPr>
          <w:lang w:eastAsia="zh-CN"/>
        </w:rPr>
      </w:pPr>
      <w:r>
        <w:rPr>
          <w:rFonts w:ascii="黑体" w:hAnsi="黑体" w:eastAsia="黑体" w:cs="黑体"/>
          <w:b/>
          <w:bCs/>
          <w:spacing w:val="7"/>
          <w:lang w:eastAsia="zh-CN"/>
        </w:rPr>
        <w:t>第</w:t>
      </w:r>
      <w:r>
        <w:rPr>
          <w:rFonts w:hint="eastAsia" w:ascii="黑体" w:hAnsi="黑体" w:eastAsia="黑体" w:cs="黑体"/>
          <w:b/>
          <w:bCs/>
          <w:spacing w:val="7"/>
          <w:lang w:eastAsia="zh-CN"/>
        </w:rPr>
        <w:t>四</w:t>
      </w:r>
      <w:r>
        <w:rPr>
          <w:rFonts w:ascii="黑体" w:hAnsi="黑体" w:eastAsia="黑体" w:cs="黑体"/>
          <w:b/>
          <w:bCs/>
          <w:spacing w:val="7"/>
          <w:lang w:eastAsia="zh-CN"/>
        </w:rPr>
        <w:t>条</w:t>
      </w:r>
      <w:r>
        <w:rPr>
          <w:rFonts w:hint="eastAsia" w:ascii="黑体" w:hAnsi="黑体" w:eastAsia="黑体" w:cs="黑体"/>
          <w:spacing w:val="7"/>
          <w:lang w:eastAsia="zh-CN"/>
        </w:rPr>
        <w:t xml:space="preserve"> </w:t>
      </w:r>
      <w:r>
        <w:rPr>
          <w:rFonts w:ascii="黑体" w:hAnsi="黑体" w:eastAsia="黑体" w:cs="黑体"/>
          <w:spacing w:val="7"/>
          <w:lang w:eastAsia="zh-CN"/>
        </w:rPr>
        <w:t xml:space="preserve"> </w:t>
      </w:r>
      <w:r>
        <w:rPr>
          <w:rFonts w:ascii="Calibri" w:hAnsi="Calibri" w:cs="Calibri"/>
          <w:lang w:eastAsia="zh-CN"/>
        </w:rPr>
        <w:t> </w:t>
      </w:r>
      <w:r>
        <w:rPr>
          <w:rFonts w:hint="eastAsia"/>
          <w:spacing w:val="1"/>
          <w:lang w:eastAsia="zh-CN"/>
        </w:rPr>
        <w:t>永嘉县人民政府组织领导</w:t>
      </w:r>
      <w:r>
        <w:rPr>
          <w:rFonts w:hint="eastAsia"/>
          <w:strike w:val="0"/>
          <w:dstrike w:val="0"/>
          <w:spacing w:val="1"/>
          <w:lang w:eastAsia="zh-CN"/>
        </w:rPr>
        <w:t>建设征地</w:t>
      </w:r>
      <w:r>
        <w:rPr>
          <w:rFonts w:hint="eastAsia"/>
          <w:spacing w:val="1"/>
          <w:lang w:eastAsia="zh-CN"/>
        </w:rPr>
        <w:t>移民安置实施工作。集体土地征收部门为县自然资源和规划局，实施单位为桥下镇人民政府、南城街道办事处、北城街道办事处。</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r>
        <w:rPr>
          <w:rFonts w:ascii="黑体" w:hAnsi="黑体" w:eastAsia="黑体" w:cs="黑体"/>
          <w:lang w:eastAsia="zh-CN"/>
        </w:rPr>
        <w:t>第</w:t>
      </w:r>
      <w:r>
        <w:rPr>
          <w:rFonts w:hint="eastAsia" w:ascii="黑体" w:hAnsi="黑体" w:eastAsia="黑体" w:cs="黑体"/>
          <w:lang w:eastAsia="zh-CN"/>
        </w:rPr>
        <w:t>二</w:t>
      </w:r>
      <w:r>
        <w:rPr>
          <w:rFonts w:ascii="黑体" w:hAnsi="黑体" w:eastAsia="黑体" w:cs="黑体"/>
          <w:lang w:eastAsia="zh-CN"/>
        </w:rPr>
        <w:t>章</w:t>
      </w:r>
      <w:bookmarkStart w:id="0" w:name="_Hlk135474545"/>
      <w:r>
        <w:rPr>
          <w:rFonts w:hint="eastAsia" w:ascii="黑体" w:hAnsi="黑体" w:eastAsia="黑体" w:cs="黑体"/>
          <w:lang w:eastAsia="zh-CN"/>
        </w:rPr>
        <w:t xml:space="preserve"> 搬迁人口</w:t>
      </w:r>
      <w:bookmarkEnd w:id="0"/>
      <w:r>
        <w:rPr>
          <w:rFonts w:hint="eastAsia" w:ascii="黑体" w:hAnsi="黑体" w:eastAsia="黑体" w:cs="黑体"/>
          <w:lang w:eastAsia="zh-CN"/>
        </w:rPr>
        <w:t>认定</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p>
    <w:p>
      <w:pPr>
        <w:pStyle w:val="3"/>
        <w:spacing w:before="100" w:beforeAutospacing="1" w:after="100" w:afterAutospacing="1" w:line="560" w:lineRule="exact"/>
        <w:ind w:left="0" w:firstLine="671" w:firstLineChars="200"/>
        <w:contextualSpacing/>
        <w:jc w:val="both"/>
        <w:rPr>
          <w:rFonts w:hint="eastAsia"/>
          <w:spacing w:val="1"/>
          <w:lang w:eastAsia="zh-CN"/>
        </w:rPr>
      </w:pPr>
      <w:r>
        <w:rPr>
          <w:rFonts w:ascii="黑体" w:hAnsi="黑体" w:eastAsia="黑体" w:cs="黑体"/>
          <w:b/>
          <w:bCs/>
          <w:spacing w:val="7"/>
          <w:lang w:eastAsia="zh-CN"/>
        </w:rPr>
        <w:t>第</w:t>
      </w:r>
      <w:r>
        <w:rPr>
          <w:rFonts w:hint="eastAsia" w:ascii="黑体" w:hAnsi="黑体" w:eastAsia="黑体" w:cs="黑体"/>
          <w:b/>
          <w:bCs/>
          <w:spacing w:val="7"/>
          <w:lang w:eastAsia="zh-CN"/>
        </w:rPr>
        <w:t>五</w:t>
      </w:r>
      <w:r>
        <w:rPr>
          <w:rFonts w:ascii="黑体" w:hAnsi="黑体" w:eastAsia="黑体" w:cs="黑体"/>
          <w:b/>
          <w:bCs/>
          <w:spacing w:val="7"/>
          <w:lang w:eastAsia="zh-CN"/>
        </w:rPr>
        <w:t>条</w:t>
      </w:r>
      <w:r>
        <w:rPr>
          <w:rFonts w:cs="仿宋_GB2312"/>
          <w:color w:val="000000" w:themeColor="text1"/>
          <w:u w:color="000000"/>
          <w:lang w:eastAsia="zh-CN"/>
          <w14:textFill>
            <w14:solidFill>
              <w14:schemeClr w14:val="tx1"/>
            </w14:solidFill>
          </w14:textFill>
        </w:rPr>
        <w:t xml:space="preserve"> </w:t>
      </w:r>
      <w:r>
        <w:rPr>
          <w:rFonts w:hint="eastAsia"/>
          <w:spacing w:val="1"/>
          <w:lang w:eastAsia="zh-CN"/>
        </w:rPr>
        <w:t>本方案搬迁人口分为农村移民、随迁人口、合法房屋产权人。农村移民安置包括生产安置、搬迁安置；其中随迁人口需随相关农村移民人口实行搬迁安置。</w:t>
      </w:r>
    </w:p>
    <w:p>
      <w:pPr>
        <w:pStyle w:val="3"/>
        <w:spacing w:before="100" w:beforeAutospacing="1" w:after="100" w:afterAutospacing="1" w:line="560" w:lineRule="exact"/>
        <w:ind w:left="0" w:firstLine="671" w:firstLineChars="200"/>
        <w:contextualSpacing/>
        <w:jc w:val="both"/>
        <w:rPr>
          <w:rFonts w:cs="仿宋_GB2312"/>
          <w:color w:val="000000" w:themeColor="text1"/>
          <w:u w:color="000000"/>
          <w:lang w:eastAsia="zh-CN"/>
          <w14:textFill>
            <w14:solidFill>
              <w14:schemeClr w14:val="tx1"/>
            </w14:solidFill>
          </w14:textFill>
        </w:rPr>
      </w:pPr>
      <w:r>
        <w:rPr>
          <w:rFonts w:ascii="黑体" w:hAnsi="黑体" w:eastAsia="黑体" w:cs="黑体"/>
          <w:b/>
          <w:bCs/>
          <w:spacing w:val="7"/>
          <w:lang w:eastAsia="zh-CN"/>
        </w:rPr>
        <w:t>第</w:t>
      </w:r>
      <w:r>
        <w:rPr>
          <w:rFonts w:hint="eastAsia" w:ascii="黑体" w:hAnsi="黑体" w:eastAsia="黑体" w:cs="黑体"/>
          <w:b/>
          <w:bCs/>
          <w:spacing w:val="7"/>
          <w:lang w:eastAsia="zh-CN"/>
        </w:rPr>
        <w:t>六</w:t>
      </w:r>
      <w:r>
        <w:rPr>
          <w:rFonts w:ascii="黑体" w:hAnsi="黑体" w:eastAsia="黑体" w:cs="黑体"/>
          <w:b/>
          <w:bCs/>
          <w:spacing w:val="7"/>
          <w:lang w:eastAsia="zh-CN"/>
        </w:rPr>
        <w:t>条</w:t>
      </w:r>
      <w:r>
        <w:rPr>
          <w:rFonts w:cs="仿宋_GB2312"/>
          <w:color w:val="000000" w:themeColor="text1"/>
          <w:u w:color="000000"/>
          <w:lang w:eastAsia="zh-CN"/>
          <w14:textFill>
            <w14:solidFill>
              <w14:schemeClr w14:val="tx1"/>
            </w14:solidFill>
          </w14:textFill>
        </w:rPr>
        <w:t xml:space="preserve">  </w:t>
      </w:r>
      <w:r>
        <w:rPr>
          <w:rFonts w:hint="eastAsia" w:cs="仿宋_GB2312"/>
          <w:color w:val="000000" w:themeColor="text1"/>
          <w:u w:color="000000"/>
          <w:lang w:eastAsia="zh-CN"/>
          <w14:textFill>
            <w14:solidFill>
              <w14:schemeClr w14:val="tx1"/>
            </w14:solidFill>
          </w14:textFill>
        </w:rPr>
        <w:t>垄山自然村范围内符合下列情形之一的，确认为农村移民人口：</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（一）住房</w:t>
      </w:r>
      <w:r>
        <w:rPr>
          <w:rFonts w:cs="仿宋_GB2312"/>
          <w:color w:val="000000" w:themeColor="text1"/>
          <w:u w:color="000000"/>
          <w:lang w:eastAsia="zh-CN"/>
          <w14:textFill>
            <w14:solidFill>
              <w14:schemeClr w14:val="tx1"/>
            </w14:solidFill>
          </w14:textFill>
        </w:rPr>
        <w:t>、</w:t>
      </w:r>
      <w:r>
        <w:rPr>
          <w:rFonts w:hint="eastAsia" w:cs="仿宋_GB2312"/>
          <w:color w:val="000000" w:themeColor="text1"/>
          <w:u w:color="000000"/>
          <w:lang w:eastAsia="zh-CN"/>
          <w14:textFill>
            <w14:solidFill>
              <w14:schemeClr w14:val="tx1"/>
            </w14:solidFill>
          </w14:textFill>
        </w:rPr>
        <w:t>户籍和主要生产资料均在建设征地范围内的</w:t>
      </w:r>
      <w:r>
        <w:rPr>
          <w:rFonts w:cs="仿宋_GB2312"/>
          <w:color w:val="000000" w:themeColor="text1"/>
          <w:u w:color="000000"/>
          <w:lang w:eastAsia="zh-CN"/>
          <w14:textFill>
            <w14:solidFill>
              <w14:schemeClr w14:val="tx1"/>
            </w14:solidFill>
          </w14:textFill>
        </w:rPr>
        <w:t>村集体经济组织成员；</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（二）原</w:t>
      </w:r>
      <w:r>
        <w:rPr>
          <w:rFonts w:cs="仿宋_GB2312"/>
          <w:color w:val="000000" w:themeColor="text1"/>
          <w:u w:color="000000"/>
          <w:lang w:eastAsia="zh-CN"/>
          <w14:textFill>
            <w14:solidFill>
              <w14:schemeClr w14:val="tx1"/>
            </w14:solidFill>
          </w14:textFill>
        </w:rPr>
        <w:t>村集体经济组织成员</w:t>
      </w:r>
      <w:r>
        <w:rPr>
          <w:rFonts w:hint="eastAsia" w:cs="仿宋_GB2312"/>
          <w:color w:val="000000" w:themeColor="text1"/>
          <w:u w:color="000000"/>
          <w:lang w:eastAsia="zh-CN"/>
          <w14:textFill>
            <w14:solidFill>
              <w14:schemeClr w14:val="tx1"/>
            </w14:solidFill>
          </w14:textFill>
        </w:rPr>
        <w:t>在建设征地范围内的临时在外人口，包括：</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cs="仿宋_GB2312"/>
          <w:color w:val="000000" w:themeColor="text1"/>
          <w:u w:color="000000"/>
          <w:lang w:eastAsia="zh-CN"/>
          <w14:textFill>
            <w14:solidFill>
              <w14:schemeClr w14:val="tx1"/>
            </w14:solidFill>
          </w14:textFill>
        </w:rPr>
        <w:t>1.现役义务兵、服现役未满12年的军（警）士（须提供士兵证、军（警）士证）；</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cs="仿宋_GB2312"/>
          <w:color w:val="000000" w:themeColor="text1"/>
          <w:u w:color="000000"/>
          <w:lang w:eastAsia="zh-CN"/>
          <w14:textFill>
            <w14:solidFill>
              <w14:schemeClr w14:val="tx1"/>
            </w14:solidFill>
          </w14:textFill>
        </w:rPr>
        <w:t>2.在校大中专学生（含全日制研究生</w:t>
      </w:r>
      <w:r>
        <w:rPr>
          <w:rFonts w:hint="eastAsia" w:cs="仿宋_GB2312"/>
          <w:color w:val="000000" w:themeColor="text1"/>
          <w:u w:color="000000"/>
          <w:lang w:eastAsia="zh-CN"/>
          <w14:textFill>
            <w14:solidFill>
              <w14:schemeClr w14:val="tx1"/>
            </w14:solidFill>
          </w14:textFill>
        </w:rPr>
        <w:t>、高校毕业未就业的</w:t>
      </w:r>
      <w:r>
        <w:rPr>
          <w:rFonts w:cs="仿宋_GB2312"/>
          <w:color w:val="000000" w:themeColor="text1"/>
          <w:u w:color="000000"/>
          <w:lang w:eastAsia="zh-CN"/>
          <w14:textFill>
            <w14:solidFill>
              <w14:schemeClr w14:val="tx1"/>
            </w14:solidFill>
          </w14:textFill>
        </w:rPr>
        <w:t>)，须提供学生证或其所在学校出具的证明；</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cs="仿宋_GB2312"/>
          <w:color w:val="000000" w:themeColor="text1"/>
          <w:u w:color="000000"/>
          <w:lang w:eastAsia="zh-CN"/>
          <w14:textFill>
            <w14:solidFill>
              <w14:schemeClr w14:val="tx1"/>
            </w14:solidFill>
          </w14:textFill>
        </w:rPr>
        <w:t>3.正在服刑人口（须提供司法机关出具的相关证明）。</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（三）在《停建通告》前合法收养的，且户口迁入的人口；</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（四）在《停建通告》前，因婚嫁到建设征地范围内、取得法定证明且共同生活，</w:t>
      </w:r>
      <w:r>
        <w:rPr>
          <w:rFonts w:hint="eastAsia"/>
          <w:lang w:eastAsia="zh-CN"/>
        </w:rPr>
        <w:t>且</w:t>
      </w:r>
      <w:r>
        <w:rPr>
          <w:rFonts w:hint="eastAsia" w:cs="仿宋_GB2312"/>
          <w:color w:val="000000" w:themeColor="text1"/>
          <w:u w:color="000000"/>
          <w:lang w:eastAsia="zh-CN"/>
          <w14:textFill>
            <w14:solidFill>
              <w14:schemeClr w14:val="tx1"/>
            </w14:solidFill>
          </w14:textFill>
        </w:rPr>
        <w:t>户口迁入的人口；</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（五）其他可以认定为农村移民人口的情形。</w:t>
      </w:r>
    </w:p>
    <w:p>
      <w:pPr>
        <w:pStyle w:val="3"/>
        <w:spacing w:before="100" w:beforeAutospacing="1" w:after="100" w:afterAutospacing="1" w:line="560" w:lineRule="exact"/>
        <w:ind w:left="0" w:firstLine="671" w:firstLineChars="200"/>
        <w:contextualSpacing/>
        <w:jc w:val="both"/>
        <w:rPr>
          <w:rFonts w:cs="仿宋_GB2312"/>
          <w:color w:val="000000" w:themeColor="text1"/>
          <w:u w:color="000000"/>
          <w:lang w:eastAsia="zh-CN"/>
          <w14:textFill>
            <w14:solidFill>
              <w14:schemeClr w14:val="tx1"/>
            </w14:solidFill>
          </w14:textFill>
        </w:rPr>
      </w:pPr>
      <w:r>
        <w:rPr>
          <w:rFonts w:ascii="黑体" w:hAnsi="黑体" w:eastAsia="黑体" w:cs="黑体"/>
          <w:b/>
          <w:bCs/>
          <w:spacing w:val="7"/>
          <w:lang w:eastAsia="zh-CN"/>
        </w:rPr>
        <w:t>第</w:t>
      </w:r>
      <w:r>
        <w:rPr>
          <w:rFonts w:hint="eastAsia" w:ascii="黑体" w:hAnsi="黑体" w:eastAsia="黑体" w:cs="黑体"/>
          <w:b/>
          <w:bCs/>
          <w:spacing w:val="7"/>
          <w:lang w:eastAsia="zh-CN"/>
        </w:rPr>
        <w:t>七</w:t>
      </w:r>
      <w:r>
        <w:rPr>
          <w:rFonts w:ascii="黑体" w:hAnsi="黑体" w:eastAsia="黑体" w:cs="黑体"/>
          <w:b/>
          <w:bCs/>
          <w:spacing w:val="7"/>
          <w:lang w:eastAsia="zh-CN"/>
        </w:rPr>
        <w:t>条</w:t>
      </w:r>
      <w:r>
        <w:rPr>
          <w:rFonts w:cs="仿宋_GB2312"/>
          <w:color w:val="000000" w:themeColor="text1"/>
          <w:u w:color="000000"/>
          <w:lang w:eastAsia="zh-CN"/>
          <w14:textFill>
            <w14:solidFill>
              <w14:schemeClr w14:val="tx1"/>
            </w14:solidFill>
          </w14:textFill>
        </w:rPr>
        <w:t xml:space="preserve">  </w:t>
      </w:r>
      <w:r>
        <w:rPr>
          <w:rFonts w:hint="eastAsia" w:cs="仿宋_GB2312"/>
          <w:color w:val="000000" w:themeColor="text1"/>
          <w:u w:color="000000"/>
          <w:lang w:eastAsia="zh-CN"/>
          <w14:textFill>
            <w14:solidFill>
              <w14:schemeClr w14:val="tx1"/>
            </w14:solidFill>
          </w14:textFill>
        </w:rPr>
        <w:t>户籍在垄山自然村范围内的下列人口，不确认为农村移民人口：</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（一）户籍挂（投）靠的人口；</w:t>
      </w:r>
    </w:p>
    <w:p>
      <w:pPr>
        <w:pStyle w:val="3"/>
        <w:spacing w:before="100" w:beforeAutospacing="1" w:after="100" w:afterAutospacing="1" w:line="560" w:lineRule="exact"/>
        <w:ind w:left="0" w:firstLineChars="200"/>
        <w:contextualSpacing/>
        <w:jc w:val="both"/>
        <w:rPr>
          <w:rFonts w:hint="eastAsia"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（二）本方案公布日前死亡，</w:t>
      </w:r>
      <w:r>
        <w:rPr>
          <w:rFonts w:hint="eastAsia"/>
          <w:lang w:eastAsia="zh-CN"/>
        </w:rPr>
        <w:t>但</w:t>
      </w:r>
      <w:r>
        <w:rPr>
          <w:rFonts w:hint="eastAsia" w:cs="仿宋_GB2312"/>
          <w:color w:val="000000" w:themeColor="text1"/>
          <w:u w:color="000000"/>
          <w:lang w:eastAsia="zh-CN"/>
          <w14:textFill>
            <w14:solidFill>
              <w14:schemeClr w14:val="tx1"/>
            </w14:solidFill>
          </w14:textFill>
        </w:rPr>
        <w:t>户籍尚未注销的人口；</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（三）违反《停建通告》及其他规定迁入的人口；</w:t>
      </w:r>
    </w:p>
    <w:p>
      <w:pPr>
        <w:pStyle w:val="3"/>
        <w:spacing w:before="100" w:beforeAutospacing="1" w:after="100" w:afterAutospacing="1" w:line="560" w:lineRule="exact"/>
        <w:ind w:left="0" w:firstLineChars="200"/>
        <w:contextualSpacing/>
        <w:jc w:val="both"/>
        <w:rPr>
          <w:rFonts w:hint="eastAsia"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（四）国家行政机关、事业单位、国有企业、国有控股企业无固定期限合同制职工及离退休人员；</w:t>
      </w:r>
    </w:p>
    <w:p>
      <w:pPr>
        <w:pStyle w:val="3"/>
        <w:spacing w:before="100" w:beforeAutospacing="1" w:after="100" w:afterAutospacing="1" w:line="560" w:lineRule="exact"/>
        <w:ind w:left="0" w:firstLine="640" w:firstLineChars="200"/>
        <w:contextualSpacing/>
        <w:jc w:val="both"/>
        <w:rPr>
          <w:rFonts w:hint="eastAsia" w:cs="仿宋_GB2312"/>
          <w:color w:val="000000" w:themeColor="text1"/>
          <w:sz w:val="32"/>
          <w:szCs w:val="32"/>
          <w:highlight w:val="none"/>
          <w:u w:val="none" w:color="auto"/>
          <w:lang w:val="en-US" w:eastAsia="zh-CN" w:bidi="ar-SA"/>
          <w14:textFill>
            <w14:solidFill>
              <w14:schemeClr w14:val="tx1"/>
            </w14:solidFill>
          </w14:textFill>
        </w:rPr>
      </w:pPr>
      <w:r>
        <w:rPr>
          <w:rFonts w:hint="eastAsia" w:cs="仿宋_GB2312"/>
          <w:color w:val="000000" w:themeColor="text1"/>
          <w:sz w:val="32"/>
          <w:szCs w:val="32"/>
          <w:highlight w:val="none"/>
          <w:u w:val="none" w:color="auto"/>
          <w:lang w:val="en-US" w:eastAsia="zh-CN" w:bidi="ar-SA"/>
          <w14:textFill>
            <w14:solidFill>
              <w14:schemeClr w14:val="tx1"/>
            </w14:solidFill>
          </w14:textFill>
        </w:rPr>
        <w:t>（五）在《停建通告》前，已出嫁、外赘、继嗣、被收养户口未迁出的人口；</w:t>
      </w:r>
    </w:p>
    <w:p>
      <w:pPr>
        <w:pStyle w:val="3"/>
        <w:spacing w:before="100" w:beforeAutospacing="1" w:after="100" w:afterAutospacing="1" w:line="560" w:lineRule="exact"/>
        <w:ind w:left="0" w:firstLineChars="200"/>
        <w:contextualSpacing/>
        <w:jc w:val="both"/>
        <w:rPr>
          <w:rFonts w:hint="eastAsia"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（六）其他不应确认为农村移民的人口。</w:t>
      </w:r>
    </w:p>
    <w:p>
      <w:pPr>
        <w:pStyle w:val="3"/>
        <w:spacing w:before="100" w:beforeAutospacing="1" w:after="100" w:afterAutospacing="1" w:line="560" w:lineRule="exact"/>
        <w:ind w:left="0" w:firstLine="671" w:firstLineChars="200"/>
        <w:contextualSpacing/>
        <w:jc w:val="both"/>
        <w:rPr>
          <w:rFonts w:hint="eastAsia" w:cs="仿宋_GB2312"/>
          <w:color w:val="000000" w:themeColor="text1"/>
          <w:highlight w:val="none"/>
          <w:u w:val="none" w:color="auto"/>
          <w:lang w:val="en-US" w:eastAsia="zh-CN"/>
          <w14:textFill>
            <w14:solidFill>
              <w14:schemeClr w14:val="tx1"/>
            </w14:solidFill>
          </w14:textFill>
        </w:rPr>
      </w:pPr>
      <w:r>
        <w:rPr>
          <w:rFonts w:ascii="黑体" w:hAnsi="黑体" w:eastAsia="黑体" w:cs="黑体"/>
          <w:b/>
          <w:bCs/>
          <w:strike w:val="0"/>
          <w:dstrike w:val="0"/>
          <w:spacing w:val="7"/>
          <w:u w:val="none"/>
          <w:lang w:eastAsia="zh-CN"/>
        </w:rPr>
        <w:t>第</w:t>
      </w:r>
      <w:r>
        <w:rPr>
          <w:rFonts w:hint="eastAsia" w:ascii="黑体" w:hAnsi="黑体" w:eastAsia="黑体" w:cs="黑体"/>
          <w:b/>
          <w:bCs/>
          <w:strike w:val="0"/>
          <w:dstrike w:val="0"/>
          <w:spacing w:val="7"/>
          <w:u w:val="none"/>
          <w:lang w:eastAsia="zh-CN"/>
        </w:rPr>
        <w:t>八</w:t>
      </w:r>
      <w:r>
        <w:rPr>
          <w:rFonts w:ascii="黑体" w:hAnsi="黑体" w:eastAsia="黑体" w:cs="黑体"/>
          <w:b/>
          <w:bCs/>
          <w:strike w:val="0"/>
          <w:dstrike w:val="0"/>
          <w:spacing w:val="7"/>
          <w:u w:val="none"/>
          <w:lang w:eastAsia="zh-CN"/>
        </w:rPr>
        <w:t>条</w:t>
      </w:r>
      <w:r>
        <w:rPr>
          <w:rFonts w:hint="eastAsia" w:ascii="黑体" w:hAnsi="黑体" w:eastAsia="黑体" w:cs="黑体"/>
          <w:b/>
          <w:bCs/>
          <w:strike w:val="0"/>
          <w:dstrike w:val="0"/>
          <w:spacing w:val="7"/>
          <w:u w:val="none"/>
          <w:lang w:val="en-US" w:eastAsia="zh-CN"/>
        </w:rPr>
        <w:t xml:space="preserve">  </w:t>
      </w:r>
      <w:r>
        <w:rPr>
          <w:rFonts w:hint="eastAsia" w:ascii="仿宋_GB2312" w:hAnsi="仿宋_GB2312" w:eastAsia="仿宋_GB2312" w:cs="仿宋_GB2312"/>
          <w:color w:val="000000" w:themeColor="text1"/>
          <w:sz w:val="32"/>
          <w:szCs w:val="32"/>
          <w:highlight w:val="none"/>
          <w:u w:val="none" w:color="auto"/>
          <w:lang w:val="en-US" w:eastAsia="zh-CN" w:bidi="ar-SA"/>
          <w14:textFill>
            <w14:solidFill>
              <w14:schemeClr w14:val="tx1"/>
            </w14:solidFill>
          </w14:textFill>
        </w:rPr>
        <w:t>在本方案公布前，被认定为农村移民户的配偶及</w:t>
      </w:r>
      <w:r>
        <w:rPr>
          <w:rFonts w:hint="eastAsia" w:cs="仿宋_GB2312"/>
          <w:color w:val="000000" w:themeColor="text1"/>
          <w:sz w:val="32"/>
          <w:szCs w:val="32"/>
          <w:highlight w:val="none"/>
          <w:u w:val="none" w:color="auto"/>
          <w:lang w:val="en-US" w:eastAsia="zh-CN" w:bidi="ar-SA"/>
          <w14:textFill>
            <w14:solidFill>
              <w14:schemeClr w14:val="tx1"/>
            </w14:solidFill>
          </w14:textFill>
        </w:rPr>
        <w:t>未成年</w:t>
      </w:r>
      <w:r>
        <w:rPr>
          <w:rFonts w:hint="eastAsia" w:ascii="仿宋_GB2312" w:hAnsi="仿宋_GB2312" w:eastAsia="仿宋_GB2312" w:cs="仿宋_GB2312"/>
          <w:color w:val="000000" w:themeColor="text1"/>
          <w:sz w:val="32"/>
          <w:szCs w:val="32"/>
          <w:highlight w:val="none"/>
          <w:u w:val="none" w:color="auto"/>
          <w:lang w:val="en-US" w:eastAsia="zh-CN" w:bidi="ar-SA"/>
          <w14:textFill>
            <w14:solidFill>
              <w14:schemeClr w14:val="tx1"/>
            </w14:solidFill>
          </w14:textFill>
        </w:rPr>
        <w:t>子女，</w:t>
      </w:r>
      <w:r>
        <w:rPr>
          <w:rFonts w:hint="eastAsia" w:cs="仿宋_GB2312"/>
          <w:color w:val="000000" w:themeColor="text1"/>
          <w:sz w:val="32"/>
          <w:szCs w:val="32"/>
          <w:highlight w:val="none"/>
          <w:u w:val="none" w:color="auto"/>
          <w:lang w:val="en-US" w:eastAsia="zh-CN" w:bidi="ar-SA"/>
          <w14:textFill>
            <w14:solidFill>
              <w14:schemeClr w14:val="tx1"/>
            </w14:solidFill>
          </w14:textFill>
        </w:rPr>
        <w:t>且</w:t>
      </w:r>
      <w:r>
        <w:rPr>
          <w:rFonts w:hint="eastAsia" w:cs="仿宋_GB2312"/>
          <w:color w:val="000000" w:themeColor="text1"/>
          <w:highlight w:val="none"/>
          <w:u w:val="none" w:color="auto"/>
          <w:lang w:val="en-US" w:eastAsia="zh-CN"/>
          <w14:textFill>
            <w14:solidFill>
              <w14:schemeClr w14:val="tx1"/>
            </w14:solidFill>
          </w14:textFill>
        </w:rPr>
        <w:t>未享受房改政策（包括审批集资建房、购买经济适用房或者房改房、领取住房补贴等）的人口，确认为随迁人口。</w:t>
      </w:r>
    </w:p>
    <w:p>
      <w:pPr>
        <w:pStyle w:val="3"/>
        <w:spacing w:before="100" w:beforeAutospacing="1" w:after="100" w:afterAutospacing="1" w:line="560" w:lineRule="exact"/>
        <w:ind w:left="0" w:firstLine="671" w:firstLineChars="200"/>
        <w:contextualSpacing/>
        <w:jc w:val="both"/>
        <w:rPr>
          <w:rFonts w:hint="eastAsia" w:cs="仿宋_GB2312"/>
          <w:color w:val="000000" w:themeColor="text1"/>
          <w:u w:color="000000"/>
          <w:lang w:eastAsia="zh-CN"/>
          <w14:textFill>
            <w14:solidFill>
              <w14:schemeClr w14:val="tx1"/>
            </w14:solidFill>
          </w14:textFill>
        </w:rPr>
      </w:pPr>
      <w:r>
        <w:rPr>
          <w:rFonts w:ascii="黑体" w:hAnsi="黑体" w:eastAsia="黑体" w:cs="黑体"/>
          <w:b/>
          <w:bCs/>
          <w:spacing w:val="7"/>
          <w:lang w:eastAsia="zh-CN"/>
        </w:rPr>
        <w:t>第</w:t>
      </w:r>
      <w:r>
        <w:rPr>
          <w:rFonts w:hint="eastAsia" w:ascii="黑体" w:hAnsi="黑体" w:eastAsia="黑体" w:cs="黑体"/>
          <w:b/>
          <w:bCs/>
          <w:spacing w:val="7"/>
          <w:lang w:eastAsia="zh-CN"/>
        </w:rPr>
        <w:t>九</w:t>
      </w:r>
      <w:r>
        <w:rPr>
          <w:rFonts w:ascii="黑体" w:hAnsi="黑体" w:eastAsia="黑体" w:cs="黑体"/>
          <w:b/>
          <w:bCs/>
          <w:spacing w:val="7"/>
          <w:lang w:eastAsia="zh-CN"/>
        </w:rPr>
        <w:t>条</w:t>
      </w:r>
      <w:r>
        <w:rPr>
          <w:rFonts w:hint="eastAsia" w:ascii="黑体" w:hAnsi="黑体" w:eastAsia="黑体" w:cs="黑体"/>
          <w:b/>
          <w:bCs/>
          <w:spacing w:val="7"/>
          <w:lang w:val="en-US" w:eastAsia="zh-CN"/>
        </w:rPr>
        <w:t xml:space="preserve">  </w:t>
      </w:r>
      <w:r>
        <w:rPr>
          <w:rFonts w:hint="eastAsia" w:cs="仿宋_GB2312"/>
          <w:color w:val="000000" w:themeColor="text1"/>
          <w:u w:color="000000"/>
          <w:lang w:eastAsia="zh-CN"/>
          <w14:textFill>
            <w14:solidFill>
              <w14:schemeClr w14:val="tx1"/>
            </w14:solidFill>
          </w14:textFill>
        </w:rPr>
        <w:t>在搬迁范围内依法通过继承或自建拥有的独立合法房产，经复核确认的房屋产权人为</w:t>
      </w:r>
      <w:r>
        <w:rPr>
          <w:rFonts w:hint="eastAsia" w:cs="仿宋_GB2312"/>
          <w:color w:val="000000" w:themeColor="text1"/>
          <w:u w:color="000000"/>
          <w:lang w:val="en-US" w:eastAsia="zh-CN"/>
          <w14:textFill>
            <w14:solidFill>
              <w14:schemeClr w14:val="tx1"/>
            </w14:solidFill>
          </w14:textFill>
        </w:rPr>
        <w:t>合法房屋产权人。</w:t>
      </w:r>
    </w:p>
    <w:p>
      <w:pPr>
        <w:pStyle w:val="3"/>
        <w:spacing w:before="100" w:beforeAutospacing="1" w:after="100" w:afterAutospacing="1" w:line="560" w:lineRule="exact"/>
        <w:ind w:left="0" w:firstLine="671" w:firstLineChars="200"/>
        <w:contextualSpacing/>
        <w:jc w:val="both"/>
        <w:rPr>
          <w:rFonts w:cs="仿宋_GB2312"/>
          <w:u w:color="000000"/>
          <w:lang w:eastAsia="zh-CN"/>
        </w:rPr>
      </w:pPr>
      <w:r>
        <w:rPr>
          <w:rFonts w:ascii="黑体" w:hAnsi="黑体" w:eastAsia="黑体" w:cs="黑体"/>
          <w:b/>
          <w:bCs/>
          <w:spacing w:val="7"/>
          <w:lang w:eastAsia="zh-CN"/>
        </w:rPr>
        <w:t>第</w:t>
      </w:r>
      <w:r>
        <w:rPr>
          <w:rFonts w:hint="eastAsia" w:ascii="黑体" w:hAnsi="黑体" w:eastAsia="黑体" w:cs="黑体"/>
          <w:b/>
          <w:bCs/>
          <w:spacing w:val="7"/>
          <w:lang w:eastAsia="zh-CN"/>
        </w:rPr>
        <w:t>十</w:t>
      </w:r>
      <w:r>
        <w:rPr>
          <w:rFonts w:ascii="黑体" w:hAnsi="黑体" w:eastAsia="黑体" w:cs="黑体"/>
          <w:b/>
          <w:bCs/>
          <w:spacing w:val="7"/>
          <w:lang w:eastAsia="zh-CN"/>
        </w:rPr>
        <w:t>条</w:t>
      </w:r>
      <w:r>
        <w:rPr>
          <w:rFonts w:hint="eastAsia" w:ascii="黑体" w:hAnsi="黑体" w:eastAsia="黑体" w:cs="黑体"/>
          <w:b/>
          <w:bCs/>
          <w:spacing w:val="7"/>
          <w:lang w:val="en-US" w:eastAsia="zh-CN"/>
        </w:rPr>
        <w:t xml:space="preserve">  </w:t>
      </w:r>
      <w:r>
        <w:rPr>
          <w:rFonts w:hint="eastAsia" w:cs="仿宋_GB2312"/>
          <w:color w:val="000000" w:themeColor="text1"/>
          <w:u w:color="000000"/>
          <w:lang w:val="en-US" w:eastAsia="zh-CN"/>
          <w14:textFill>
            <w14:solidFill>
              <w14:schemeClr w14:val="tx1"/>
            </w14:solidFill>
          </w14:textFill>
        </w:rPr>
        <w:t>搬迁</w:t>
      </w:r>
      <w:r>
        <w:rPr>
          <w:rFonts w:hint="eastAsia" w:cs="仿宋_GB2312"/>
          <w:color w:val="000000" w:themeColor="text1"/>
          <w:u w:color="000000"/>
          <w:lang w:eastAsia="zh-CN"/>
          <w14:textFill>
            <w14:solidFill>
              <w14:schemeClr w14:val="tx1"/>
            </w14:solidFill>
          </w14:textFill>
        </w:rPr>
        <w:t>人口认定确认程</w:t>
      </w:r>
      <w:r>
        <w:rPr>
          <w:rFonts w:hint="eastAsia" w:cs="仿宋_GB2312"/>
          <w:u w:color="000000"/>
          <w:lang w:eastAsia="zh-CN"/>
        </w:rPr>
        <w:t>序：</w:t>
      </w:r>
      <w:r>
        <w:rPr>
          <w:rFonts w:hint="eastAsia" w:cs="仿宋_GB2312"/>
          <w:strike w:val="0"/>
          <w:dstrike w:val="0"/>
          <w:u w:color="000000"/>
          <w:lang w:val="en-US" w:eastAsia="zh-CN"/>
        </w:rPr>
        <w:t>搬迁人口</w:t>
      </w:r>
      <w:r>
        <w:rPr>
          <w:rFonts w:hint="eastAsia" w:cs="仿宋_GB2312"/>
          <w:u w:color="000000"/>
          <w:lang w:eastAsia="zh-CN"/>
        </w:rPr>
        <w:t>负责提供本户人口认定审查有关材料，经村（居）民委员会、乡镇（街道）审核后上报</w:t>
      </w:r>
      <w:r>
        <w:rPr>
          <w:rFonts w:hint="eastAsia" w:hAnsi="仿宋" w:cs="仿宋"/>
          <w:lang w:eastAsia="zh-CN"/>
        </w:rPr>
        <w:t>县抽水蓄能电站项目工作领导小组前期办公室，由其牵头组织相关部门进行联合</w:t>
      </w:r>
      <w:r>
        <w:rPr>
          <w:rFonts w:hint="eastAsia" w:cs="仿宋_GB2312"/>
          <w:u w:color="000000"/>
          <w:lang w:eastAsia="zh-CN"/>
        </w:rPr>
        <w:t>复核确认，并在移民所在行政村（社区）和乡镇（街道）进行</w:t>
      </w:r>
      <w:r>
        <w:rPr>
          <w:rFonts w:cs="仿宋_GB2312"/>
          <w:u w:color="000000"/>
          <w:lang w:eastAsia="zh-CN"/>
        </w:rPr>
        <w:t>7个工作日公示无异议后确认。</w:t>
      </w:r>
    </w:p>
    <w:p>
      <w:pPr>
        <w:pStyle w:val="3"/>
        <w:spacing w:before="100" w:beforeAutospacing="1" w:after="100" w:afterAutospacing="1" w:line="560" w:lineRule="exact"/>
        <w:ind w:left="0" w:firstLine="671" w:firstLineChars="200"/>
        <w:contextualSpacing/>
        <w:jc w:val="both"/>
        <w:rPr>
          <w:rFonts w:hint="eastAsia" w:cs="仿宋_GB2312"/>
          <w:u w:color="000000"/>
          <w:lang w:val="en-US" w:eastAsia="zh-CN"/>
        </w:rPr>
      </w:pPr>
      <w:r>
        <w:rPr>
          <w:rFonts w:ascii="黑体" w:hAnsi="黑体" w:eastAsia="黑体" w:cs="黑体"/>
          <w:b/>
          <w:bCs/>
          <w:spacing w:val="7"/>
          <w:lang w:eastAsia="zh-CN"/>
        </w:rPr>
        <w:t>第</w:t>
      </w:r>
      <w:r>
        <w:rPr>
          <w:rFonts w:hint="eastAsia" w:ascii="黑体" w:hAnsi="黑体" w:eastAsia="黑体" w:cs="黑体"/>
          <w:b/>
          <w:bCs/>
          <w:spacing w:val="7"/>
          <w:lang w:eastAsia="zh-CN"/>
        </w:rPr>
        <w:t>十一</w:t>
      </w:r>
      <w:r>
        <w:rPr>
          <w:rFonts w:ascii="黑体" w:hAnsi="黑体" w:eastAsia="黑体" w:cs="黑体"/>
          <w:b/>
          <w:bCs/>
          <w:spacing w:val="7"/>
          <w:lang w:eastAsia="zh-CN"/>
        </w:rPr>
        <w:t>条</w:t>
      </w:r>
      <w:r>
        <w:rPr>
          <w:rFonts w:hint="eastAsia" w:ascii="黑体" w:hAnsi="黑体" w:eastAsia="黑体" w:cs="黑体"/>
          <w:b/>
          <w:bCs/>
          <w:spacing w:val="7"/>
          <w:lang w:val="en-US" w:eastAsia="zh-CN"/>
        </w:rPr>
        <w:t xml:space="preserve">  </w:t>
      </w:r>
      <w:r>
        <w:rPr>
          <w:rFonts w:hint="eastAsia" w:cs="仿宋_GB2312"/>
          <w:color w:val="000000" w:themeColor="text1"/>
          <w:u w:val="none" w:color="auto"/>
          <w:lang w:val="en-US" w:eastAsia="zh-CN"/>
          <w14:textFill>
            <w14:solidFill>
              <w14:schemeClr w14:val="tx1"/>
            </w14:solidFill>
          </w14:textFill>
        </w:rPr>
        <w:t xml:space="preserve"> </w:t>
      </w:r>
      <w:r>
        <w:rPr>
          <w:rFonts w:hint="eastAsia" w:cs="仿宋_GB2312"/>
          <w:u w:val="none" w:color="auto"/>
          <w:lang w:val="en-US" w:eastAsia="zh-CN"/>
        </w:rPr>
        <w:t>本方案公布日为移民人口及其资格审查的基准日。</w:t>
      </w:r>
      <w:r>
        <w:rPr>
          <w:rFonts w:hint="eastAsia" w:cs="仿宋_GB2312"/>
          <w:u w:color="000000"/>
          <w:lang w:val="en-US" w:eastAsia="zh-CN"/>
        </w:rPr>
        <w:t>在公示期满日后死亡的人口，仍视同移民人口安置，新增的人口不再纳入移民人口安置。（在公示期满日后户内有人员死亡需提供继承公证书或其他生效法律文书明确继承人，并继承相应的安置财产）</w:t>
      </w:r>
    </w:p>
    <w:p>
      <w:pPr>
        <w:pStyle w:val="2"/>
        <w:rPr>
          <w:rFonts w:hint="eastAsia"/>
          <w:lang w:val="en-US"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hint="eastAsia" w:ascii="黑体" w:hAnsi="黑体" w:eastAsia="黑体" w:cs="黑体"/>
          <w:lang w:eastAsia="zh-CN"/>
        </w:rPr>
      </w:pPr>
      <w:r>
        <w:rPr>
          <w:rFonts w:hint="eastAsia" w:ascii="黑体" w:hAnsi="黑体" w:eastAsia="黑体" w:cs="黑体"/>
          <w:lang w:eastAsia="zh-CN"/>
        </w:rPr>
        <w:t>第三章</w:t>
      </w:r>
      <w:r>
        <w:rPr>
          <w:rFonts w:hint="eastAsia" w:ascii="黑体" w:hAnsi="黑体" w:eastAsia="黑体" w:cs="黑体"/>
          <w:lang w:val="en-US" w:eastAsia="zh-CN"/>
        </w:rPr>
        <w:t xml:space="preserve"> </w:t>
      </w:r>
      <w:r>
        <w:rPr>
          <w:rFonts w:hint="eastAsia" w:ascii="黑体" w:hAnsi="黑体" w:eastAsia="黑体" w:cs="黑体"/>
          <w:lang w:eastAsia="zh-CN"/>
        </w:rPr>
        <w:t>生产安置</w:t>
      </w:r>
    </w:p>
    <w:p>
      <w:pPr>
        <w:pStyle w:val="3"/>
        <w:tabs>
          <w:tab w:val="left" w:pos="0"/>
        </w:tabs>
        <w:adjustRightInd w:val="0"/>
        <w:snapToGrid w:val="0"/>
        <w:spacing w:before="240" w:beforeLines="100" w:after="240" w:afterLines="100" w:line="560" w:lineRule="exact"/>
        <w:ind w:left="0" w:firstLine="671" w:firstLineChars="200"/>
        <w:contextualSpacing/>
        <w:jc w:val="left"/>
        <w:outlineLvl w:val="0"/>
        <w:rPr>
          <w:rFonts w:ascii="黑体" w:hAnsi="黑体" w:eastAsia="黑体" w:cs="黑体"/>
          <w:b/>
          <w:bCs/>
          <w:spacing w:val="7"/>
          <w:lang w:eastAsia="zh-CN"/>
        </w:rPr>
      </w:pPr>
    </w:p>
    <w:p>
      <w:pPr>
        <w:pStyle w:val="3"/>
        <w:tabs>
          <w:tab w:val="left" w:pos="0"/>
        </w:tabs>
        <w:adjustRightInd w:val="0"/>
        <w:snapToGrid w:val="0"/>
        <w:spacing w:before="240" w:beforeLines="100" w:after="240" w:afterLines="100" w:line="560" w:lineRule="exact"/>
        <w:ind w:left="0" w:firstLine="671" w:firstLineChars="200"/>
        <w:contextualSpacing/>
        <w:jc w:val="left"/>
        <w:outlineLvl w:val="0"/>
        <w:rPr>
          <w:rFonts w:hint="eastAsia" w:cs="仿宋_GB2312"/>
          <w:color w:val="000000" w:themeColor="text1"/>
          <w:u w:color="000000"/>
          <w:lang w:eastAsia="zh-CN"/>
          <w14:textFill>
            <w14:solidFill>
              <w14:schemeClr w14:val="tx1"/>
            </w14:solidFill>
          </w14:textFill>
        </w:rPr>
      </w:pPr>
      <w:r>
        <w:rPr>
          <w:rFonts w:ascii="黑体" w:hAnsi="黑体" w:eastAsia="黑体" w:cs="黑体"/>
          <w:b/>
          <w:bCs/>
          <w:spacing w:val="7"/>
          <w:lang w:eastAsia="zh-CN"/>
        </w:rPr>
        <w:t>第</w:t>
      </w:r>
      <w:r>
        <w:rPr>
          <w:rFonts w:hint="eastAsia" w:ascii="黑体" w:hAnsi="黑体" w:eastAsia="黑体" w:cs="黑体"/>
          <w:b/>
          <w:bCs/>
          <w:spacing w:val="7"/>
          <w:lang w:eastAsia="zh-CN"/>
        </w:rPr>
        <w:t>十二</w:t>
      </w:r>
      <w:r>
        <w:rPr>
          <w:rFonts w:ascii="黑体" w:hAnsi="黑体" w:eastAsia="黑体" w:cs="黑体"/>
          <w:b/>
          <w:bCs/>
          <w:spacing w:val="7"/>
          <w:lang w:eastAsia="zh-CN"/>
        </w:rPr>
        <w:t>条</w:t>
      </w:r>
      <w:r>
        <w:rPr>
          <w:rFonts w:hint="eastAsia" w:ascii="黑体" w:hAnsi="黑体" w:eastAsia="黑体" w:cs="黑体"/>
          <w:b/>
          <w:bCs/>
          <w:spacing w:val="7"/>
          <w:lang w:val="en-US" w:eastAsia="zh-CN"/>
        </w:rPr>
        <w:t xml:space="preserve">  </w:t>
      </w:r>
      <w:r>
        <w:rPr>
          <w:rFonts w:hint="eastAsia" w:cs="仿宋_GB2312"/>
          <w:color w:val="000000" w:themeColor="text1"/>
          <w:u w:color="000000"/>
          <w:lang w:eastAsia="zh-CN"/>
          <w14:textFill>
            <w14:solidFill>
              <w14:schemeClr w14:val="tx1"/>
            </w14:solidFill>
          </w14:textFill>
        </w:rPr>
        <w:t>农村移民生产安置按基本养老保险辅以自谋职业安置、一次性货币补偿等方式进行，具体参照《永嘉县人力资源和社会保障局 永嘉县财政局 永嘉县自然资源和规划局国家税务总局永嘉县税务局关于进一步做好被征地农民参加基本养老保险有关工作的通知》（永人社〔2021〕15号）和《永嘉县人民政府关于印发永嘉县征收农民集体所有土地管理办法的通知》（永政发</w:t>
      </w:r>
      <w:r>
        <w:rPr>
          <w:rFonts w:hint="eastAsia" w:cs="仿宋_GB2312"/>
          <w:color w:val="000000"/>
          <w:u w:color="000000"/>
          <w:lang w:eastAsia="zh-CN"/>
        </w:rPr>
        <w:t>〔2020〕</w:t>
      </w:r>
      <w:r>
        <w:rPr>
          <w:rFonts w:hint="eastAsia" w:cs="仿宋_GB2312"/>
          <w:color w:val="000000" w:themeColor="text1"/>
          <w:u w:color="000000"/>
          <w:lang w:eastAsia="zh-CN"/>
          <w14:textFill>
            <w14:solidFill>
              <w14:schemeClr w14:val="tx1"/>
            </w14:solidFill>
          </w14:textFill>
        </w:rPr>
        <w:t>102号）相关政策执行。</w:t>
      </w:r>
    </w:p>
    <w:p>
      <w:pPr>
        <w:pStyle w:val="3"/>
        <w:tabs>
          <w:tab w:val="left" w:pos="0"/>
        </w:tabs>
        <w:adjustRightInd w:val="0"/>
        <w:snapToGrid w:val="0"/>
        <w:spacing w:before="240" w:beforeLines="100" w:after="240" w:afterLines="100" w:line="560" w:lineRule="exact"/>
        <w:ind w:left="0" w:firstLine="0"/>
        <w:contextualSpacing/>
        <w:jc w:val="both"/>
        <w:outlineLvl w:val="0"/>
        <w:rPr>
          <w:rFonts w:hint="eastAsia" w:ascii="黑体" w:hAnsi="黑体" w:eastAsia="黑体" w:cs="黑体"/>
          <w:lang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hint="eastAsia" w:ascii="黑体" w:hAnsi="黑体" w:eastAsia="黑体" w:cs="黑体"/>
          <w:lang w:eastAsia="zh-CN"/>
        </w:rPr>
      </w:pPr>
      <w:r>
        <w:rPr>
          <w:rFonts w:hint="eastAsia" w:ascii="黑体" w:hAnsi="黑体" w:eastAsia="黑体" w:cs="黑体"/>
          <w:lang w:eastAsia="zh-CN"/>
        </w:rPr>
        <w:t>第四章</w:t>
      </w:r>
      <w:r>
        <w:rPr>
          <w:rFonts w:hint="eastAsia" w:ascii="黑体" w:hAnsi="黑体" w:eastAsia="黑体" w:cs="黑体"/>
          <w:lang w:val="en-US" w:eastAsia="zh-CN"/>
        </w:rPr>
        <w:t xml:space="preserve"> 移民</w:t>
      </w:r>
      <w:r>
        <w:rPr>
          <w:rFonts w:hint="eastAsia" w:ascii="黑体" w:hAnsi="黑体" w:eastAsia="黑体" w:cs="黑体"/>
          <w:lang w:eastAsia="zh-CN"/>
        </w:rPr>
        <w:t>搬迁安置</w:t>
      </w:r>
    </w:p>
    <w:p>
      <w:pPr>
        <w:pStyle w:val="3"/>
        <w:spacing w:before="100" w:beforeAutospacing="1" w:after="100" w:afterAutospacing="1" w:line="560" w:lineRule="exact"/>
        <w:ind w:left="0" w:firstLine="671" w:firstLineChars="200"/>
        <w:contextualSpacing/>
        <w:jc w:val="both"/>
        <w:rPr>
          <w:rFonts w:hint="eastAsia" w:ascii="黑体" w:hAnsi="黑体" w:eastAsia="黑体" w:cs="黑体"/>
          <w:b/>
          <w:bCs/>
          <w:spacing w:val="7"/>
          <w:lang w:eastAsia="zh-CN"/>
        </w:rPr>
      </w:pPr>
    </w:p>
    <w:p>
      <w:pPr>
        <w:pStyle w:val="3"/>
        <w:spacing w:before="100" w:beforeAutospacing="1" w:after="100" w:afterAutospacing="1" w:line="560" w:lineRule="exact"/>
        <w:ind w:left="0" w:firstLine="671" w:firstLineChars="200"/>
        <w:contextualSpacing/>
        <w:jc w:val="both"/>
        <w:rPr>
          <w:rFonts w:cs="仿宋_GB2312"/>
          <w:color w:val="000000" w:themeColor="text1"/>
          <w:u w:color="000000"/>
          <w:lang w:eastAsia="zh-CN"/>
          <w14:textFill>
            <w14:solidFill>
              <w14:schemeClr w14:val="tx1"/>
            </w14:solidFill>
          </w14:textFill>
        </w:rPr>
      </w:pPr>
      <w:r>
        <w:rPr>
          <w:rFonts w:hint="eastAsia" w:ascii="黑体" w:hAnsi="黑体" w:eastAsia="黑体" w:cs="黑体"/>
          <w:b/>
          <w:bCs/>
          <w:spacing w:val="7"/>
          <w:lang w:eastAsia="zh-CN"/>
        </w:rPr>
        <w:t>第十</w:t>
      </w:r>
      <w:r>
        <w:rPr>
          <w:rFonts w:hint="eastAsia" w:ascii="黑体" w:hAnsi="黑体" w:eastAsia="黑体" w:cs="黑体"/>
          <w:b/>
          <w:bCs/>
          <w:spacing w:val="7"/>
          <w:lang w:val="en-US" w:eastAsia="zh-CN"/>
        </w:rPr>
        <w:t>三</w:t>
      </w:r>
      <w:r>
        <w:rPr>
          <w:rFonts w:hint="eastAsia" w:ascii="黑体" w:hAnsi="黑体" w:eastAsia="黑体" w:cs="黑体"/>
          <w:b/>
          <w:bCs/>
          <w:spacing w:val="7"/>
          <w:lang w:eastAsia="zh-CN"/>
        </w:rPr>
        <w:t>条</w:t>
      </w:r>
      <w:r>
        <w:rPr>
          <w:rFonts w:cs="仿宋_GB2312"/>
          <w:color w:val="000000" w:themeColor="text1"/>
          <w:u w:color="000000"/>
          <w:lang w:eastAsia="zh-CN"/>
          <w14:textFill>
            <w14:solidFill>
              <w14:schemeClr w14:val="tx1"/>
            </w14:solidFill>
          </w14:textFill>
        </w:rPr>
        <w:t xml:space="preserve"> </w:t>
      </w:r>
      <w:r>
        <w:rPr>
          <w:rFonts w:hint="eastAsia" w:cs="仿宋_GB2312"/>
          <w:color w:val="000000" w:themeColor="text1"/>
          <w:u w:color="000000"/>
          <w:lang w:eastAsia="zh-CN"/>
          <w14:textFill>
            <w14:solidFill>
              <w14:schemeClr w14:val="tx1"/>
            </w14:solidFill>
          </w14:textFill>
        </w:rPr>
        <w:t xml:space="preserve"> 搬迁安置方式</w:t>
      </w:r>
    </w:p>
    <w:p>
      <w:pPr>
        <w:pStyle w:val="3"/>
        <w:spacing w:before="100" w:beforeAutospacing="1" w:after="100" w:afterAutospacing="1" w:line="560" w:lineRule="exact"/>
        <w:ind w:left="0" w:firstLineChars="200"/>
        <w:contextualSpacing/>
        <w:jc w:val="both"/>
        <w:rPr>
          <w:rFonts w:hint="eastAsia"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农村移民搬迁安置方式包括产权安置、</w:t>
      </w:r>
      <w:r>
        <w:rPr>
          <w:rFonts w:hint="eastAsia" w:cs="仿宋_GB2312"/>
          <w:strike w:val="0"/>
          <w:dstrike w:val="0"/>
          <w:color w:val="000000" w:themeColor="text1"/>
          <w:u w:color="000000"/>
          <w:lang w:eastAsia="zh-CN"/>
          <w14:textFill>
            <w14:solidFill>
              <w14:schemeClr w14:val="tx1"/>
            </w14:solidFill>
          </w14:textFill>
        </w:rPr>
        <w:t>货币补偿及产权安置与货币补偿相结合</w:t>
      </w:r>
      <w:r>
        <w:rPr>
          <w:rFonts w:hint="eastAsia" w:cs="仿宋_GB2312"/>
          <w:color w:val="000000" w:themeColor="text1"/>
          <w:u w:color="000000"/>
          <w:lang w:eastAsia="zh-CN"/>
          <w14:textFill>
            <w14:solidFill>
              <w14:schemeClr w14:val="tx1"/>
            </w14:solidFill>
          </w14:textFill>
        </w:rPr>
        <w:t>安置。</w:t>
      </w:r>
    </w:p>
    <w:p>
      <w:pPr>
        <w:pStyle w:val="3"/>
        <w:spacing w:before="100" w:beforeAutospacing="1" w:after="100" w:afterAutospacing="1" w:line="560" w:lineRule="exact"/>
        <w:ind w:left="0" w:firstLineChars="200"/>
        <w:contextualSpacing/>
        <w:jc w:val="both"/>
        <w:rPr>
          <w:rFonts w:hint="eastAsia" w:cs="仿宋_GB2312"/>
          <w:color w:val="000000" w:themeColor="text1"/>
          <w:u w:color="00000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color="000000"/>
          <w:lang w:val="en-US" w:eastAsia="zh-CN" w:bidi="ar-SA"/>
          <w14:textFill>
            <w14:solidFill>
              <w14:schemeClr w14:val="tx1"/>
            </w14:solidFill>
          </w14:textFill>
        </w:rPr>
        <w:t>（一）</w:t>
      </w:r>
      <w:r>
        <w:rPr>
          <w:rFonts w:hint="eastAsia" w:cs="仿宋_GB2312"/>
          <w:color w:val="000000" w:themeColor="text1"/>
          <w:u w:color="000000"/>
          <w:lang w:val="en-US" w:eastAsia="zh-CN"/>
          <w14:textFill>
            <w14:solidFill>
              <w14:schemeClr w14:val="tx1"/>
            </w14:solidFill>
          </w14:textFill>
        </w:rPr>
        <w:t>产权安置</w:t>
      </w:r>
    </w:p>
    <w:p>
      <w:pPr>
        <w:pStyle w:val="3"/>
        <w:spacing w:before="100" w:beforeAutospacing="1" w:after="100" w:afterAutospacing="1" w:line="560" w:lineRule="exact"/>
        <w:ind w:left="0" w:firstLineChars="200"/>
        <w:contextualSpacing/>
        <w:jc w:val="both"/>
        <w:rPr>
          <w:rFonts w:hint="eastAsia" w:cs="仿宋_GB2312"/>
          <w:color w:val="000000" w:themeColor="text1"/>
          <w:u w:color="000000"/>
          <w:lang w:val="en-US" w:eastAsia="zh-CN"/>
          <w14:textFill>
            <w14:solidFill>
              <w14:schemeClr w14:val="tx1"/>
            </w14:solidFill>
          </w14:textFill>
        </w:rPr>
      </w:pPr>
      <w:r>
        <w:rPr>
          <w:rFonts w:hint="eastAsia" w:cs="仿宋_GB2312"/>
          <w:color w:val="000000" w:themeColor="text1"/>
          <w:u w:color="000000"/>
          <w:lang w:val="en-US" w:eastAsia="zh-CN"/>
          <w14:textFill>
            <w14:solidFill>
              <w14:schemeClr w14:val="tx1"/>
            </w14:solidFill>
          </w14:textFill>
        </w:rPr>
        <w:t>产权安置是指搬迁安置对象以户为单位选购公寓房的安置方式。</w:t>
      </w:r>
      <w:r>
        <w:rPr>
          <w:lang w:eastAsia="zh-CN"/>
        </w:rPr>
        <w:t>被</w:t>
      </w:r>
      <w:r>
        <w:rPr>
          <w:rFonts w:hint="eastAsia"/>
          <w:lang w:eastAsia="zh-CN"/>
        </w:rPr>
        <w:t>搬迁</w:t>
      </w:r>
      <w:r>
        <w:rPr>
          <w:lang w:eastAsia="zh-CN"/>
        </w:rPr>
        <w:t>房屋总安置面积=应安置面积</w:t>
      </w:r>
      <w:r>
        <w:rPr>
          <w:rFonts w:cs="仿宋_GB2312"/>
          <w:lang w:eastAsia="zh-CN"/>
        </w:rPr>
        <w:t>+</w:t>
      </w:r>
      <w:r>
        <w:rPr>
          <w:rFonts w:hint="eastAsia" w:cs="仿宋_GB2312"/>
          <w:u w:color="000000"/>
          <w:lang w:eastAsia="zh-CN"/>
        </w:rPr>
        <w:t>人均补足面积</w:t>
      </w:r>
      <w:r>
        <w:rPr>
          <w:rFonts w:cs="仿宋_GB2312"/>
          <w:lang w:eastAsia="zh-CN"/>
        </w:rPr>
        <w:t>+</w:t>
      </w:r>
      <w:r>
        <w:rPr>
          <w:lang w:eastAsia="zh-CN"/>
        </w:rPr>
        <w:t>增购面积</w:t>
      </w:r>
      <w:r>
        <w:rPr>
          <w:rFonts w:hint="eastAsia"/>
          <w:lang w:eastAsia="zh-CN"/>
        </w:rPr>
        <w:t>。</w:t>
      </w:r>
    </w:p>
    <w:p>
      <w:pPr>
        <w:pStyle w:val="3"/>
        <w:snapToGrid w:val="0"/>
        <w:spacing w:before="100" w:beforeAutospacing="1" w:after="100" w:afterAutospacing="1" w:line="560" w:lineRule="exact"/>
        <w:ind w:left="0" w:firstLine="640" w:firstLineChars="200"/>
        <w:contextualSpacing/>
        <w:jc w:val="both"/>
        <w:rPr>
          <w:rFonts w:hint="eastAsia" w:cs="仿宋_GB2312"/>
          <w:color w:val="000000" w:themeColor="text1"/>
          <w:u w:color="000000"/>
          <w:lang w:eastAsia="zh-CN"/>
          <w14:textFill>
            <w14:solidFill>
              <w14:schemeClr w14:val="tx1"/>
            </w14:solidFill>
          </w14:textFill>
        </w:rPr>
      </w:pPr>
      <w:r>
        <w:rPr>
          <w:rFonts w:hint="default"/>
          <w:lang w:val="en-US" w:eastAsia="zh-CN"/>
        </w:rPr>
        <w:t>（</w:t>
      </w:r>
      <w:r>
        <w:rPr>
          <w:rFonts w:hint="eastAsia"/>
          <w:lang w:val="en-US" w:eastAsia="zh-CN"/>
        </w:rPr>
        <w:t>二</w:t>
      </w:r>
      <w:r>
        <w:rPr>
          <w:rFonts w:hint="default"/>
          <w:lang w:val="en-US" w:eastAsia="zh-CN"/>
        </w:rPr>
        <w:t>）</w:t>
      </w:r>
      <w:r>
        <w:rPr>
          <w:rFonts w:hint="eastAsia" w:cs="仿宋_GB2312"/>
          <w:color w:val="000000" w:themeColor="text1"/>
          <w:u w:color="000000"/>
          <w:lang w:eastAsia="zh-CN"/>
          <w14:textFill>
            <w14:solidFill>
              <w14:schemeClr w14:val="tx1"/>
            </w14:solidFill>
          </w14:textFill>
        </w:rPr>
        <w:t>货币补偿</w:t>
      </w:r>
    </w:p>
    <w:p>
      <w:pPr>
        <w:pStyle w:val="3"/>
        <w:snapToGrid w:val="0"/>
        <w:spacing w:before="100" w:beforeAutospacing="1" w:after="100" w:afterAutospacing="1" w:line="560" w:lineRule="exact"/>
        <w:ind w:left="0" w:firstLine="640" w:firstLineChars="200"/>
        <w:contextualSpacing/>
        <w:jc w:val="both"/>
        <w:rPr>
          <w:spacing w:val="7"/>
          <w:lang w:eastAsia="zh-CN"/>
        </w:rPr>
      </w:pPr>
      <w:r>
        <w:rPr>
          <w:rFonts w:hint="eastAsia" w:cs="仿宋_GB2312"/>
          <w:color w:val="000000" w:themeColor="text1"/>
          <w:u w:color="000000"/>
          <w:lang w:eastAsia="zh-CN"/>
          <w14:textFill>
            <w14:solidFill>
              <w14:schemeClr w14:val="tx1"/>
            </w14:solidFill>
          </w14:textFill>
        </w:rPr>
        <w:t>货币补偿是指搬迁安置对象选择放弃产权，</w:t>
      </w:r>
      <w:r>
        <w:rPr>
          <w:rFonts w:hint="eastAsia" w:cs="仿宋_GB2312"/>
          <w:color w:val="333333"/>
          <w:u w:color="000000"/>
          <w:lang w:eastAsia="zh-CN"/>
        </w:rPr>
        <w:t>并获得规定标准的资金来进</w:t>
      </w:r>
      <w:r>
        <w:rPr>
          <w:rFonts w:hint="eastAsia" w:cs="仿宋_GB2312"/>
          <w:color w:val="000000" w:themeColor="text1"/>
          <w:u w:color="000000"/>
          <w:lang w:eastAsia="zh-CN"/>
          <w14:textFill>
            <w14:solidFill>
              <w14:schemeClr w14:val="tx1"/>
            </w14:solidFill>
          </w14:textFill>
        </w:rPr>
        <w:t>行补偿的安置方式。</w:t>
      </w:r>
      <w:r>
        <w:rPr>
          <w:spacing w:val="7"/>
          <w:lang w:eastAsia="zh-CN"/>
        </w:rPr>
        <w:t>被</w:t>
      </w:r>
      <w:r>
        <w:rPr>
          <w:rFonts w:hint="eastAsia"/>
          <w:lang w:eastAsia="zh-CN"/>
        </w:rPr>
        <w:t>搬迁</w:t>
      </w:r>
      <w:r>
        <w:rPr>
          <w:spacing w:val="7"/>
          <w:lang w:eastAsia="zh-CN"/>
        </w:rPr>
        <w:t>人选择货币补偿的，先按照被</w:t>
      </w:r>
      <w:r>
        <w:rPr>
          <w:rFonts w:hint="eastAsia"/>
          <w:lang w:eastAsia="zh-CN"/>
        </w:rPr>
        <w:t>搬迁</w:t>
      </w:r>
      <w:r>
        <w:rPr>
          <w:spacing w:val="7"/>
          <w:lang w:eastAsia="zh-CN"/>
        </w:rPr>
        <w:t>房屋产权安置方式计算总安置面积</w:t>
      </w:r>
      <w:r>
        <w:rPr>
          <w:rFonts w:hint="eastAsia"/>
          <w:spacing w:val="7"/>
          <w:lang w:eastAsia="zh-CN"/>
        </w:rPr>
        <w:t>（含增购面积，不含人均补足面积）</w:t>
      </w:r>
      <w:r>
        <w:rPr>
          <w:spacing w:val="7"/>
          <w:lang w:eastAsia="zh-CN"/>
        </w:rPr>
        <w:t>，再按总安置面积乘以安置房所在地块市场评估均价扣减被</w:t>
      </w:r>
      <w:r>
        <w:rPr>
          <w:rFonts w:hint="eastAsia"/>
          <w:spacing w:val="7"/>
          <w:lang w:eastAsia="zh-CN"/>
        </w:rPr>
        <w:t>搬迁</w:t>
      </w:r>
      <w:r>
        <w:rPr>
          <w:spacing w:val="7"/>
          <w:lang w:eastAsia="zh-CN"/>
        </w:rPr>
        <w:t>人应支付的安置房价款。</w:t>
      </w:r>
    </w:p>
    <w:p>
      <w:pPr>
        <w:pStyle w:val="3"/>
        <w:snapToGrid w:val="0"/>
        <w:spacing w:before="100" w:beforeAutospacing="1" w:after="100" w:afterAutospacing="1" w:line="560" w:lineRule="exact"/>
        <w:ind w:left="0" w:firstLine="640" w:firstLineChars="200"/>
        <w:contextualSpacing/>
        <w:jc w:val="both"/>
        <w:rPr>
          <w:rFonts w:hint="eastAsia"/>
          <w:lang w:eastAsia="zh-CN"/>
        </w:rPr>
      </w:pPr>
      <w:r>
        <w:rPr>
          <w:rFonts w:hint="eastAsia"/>
          <w:lang w:eastAsia="zh-CN"/>
        </w:rPr>
        <w:t>被搬迁房屋货币补偿款计算公式为：（应安置面积+增购面积）×安置房市场评估均价-被搬迁人应支付的安置房价款。</w:t>
      </w:r>
    </w:p>
    <w:p>
      <w:pPr>
        <w:pStyle w:val="3"/>
        <w:snapToGrid w:val="0"/>
        <w:spacing w:before="100" w:beforeAutospacing="1" w:after="100" w:afterAutospacing="1" w:line="560" w:lineRule="exact"/>
        <w:ind w:left="0" w:firstLine="640" w:firstLineChars="200"/>
        <w:contextualSpacing/>
        <w:jc w:val="both"/>
        <w:rPr>
          <w:rFonts w:hint="eastAsia" w:cs="仿宋_GB2312"/>
          <w:color w:val="000000" w:themeColor="text1"/>
          <w:u w:color="000000"/>
          <w:lang w:eastAsia="zh-CN"/>
          <w14:textFill>
            <w14:solidFill>
              <w14:schemeClr w14:val="tx1"/>
            </w14:solidFill>
          </w14:textFill>
        </w:rPr>
      </w:pPr>
      <w:r>
        <w:rPr>
          <w:rFonts w:hint="eastAsia"/>
          <w:lang w:val="en-US" w:eastAsia="zh-CN"/>
        </w:rPr>
        <w:t>（三）</w:t>
      </w:r>
      <w:r>
        <w:rPr>
          <w:rFonts w:hint="eastAsia" w:cs="仿宋_GB2312"/>
          <w:color w:val="000000" w:themeColor="text1"/>
          <w:u w:color="000000"/>
          <w:lang w:eastAsia="zh-CN"/>
          <w14:textFill>
            <w14:solidFill>
              <w14:schemeClr w14:val="tx1"/>
            </w14:solidFill>
          </w14:textFill>
        </w:rPr>
        <w:t>产权安置与货币补偿相结合安置</w:t>
      </w:r>
    </w:p>
    <w:p>
      <w:pPr>
        <w:pStyle w:val="3"/>
        <w:snapToGrid w:val="0"/>
        <w:spacing w:before="100" w:beforeAutospacing="1" w:after="100" w:afterAutospacing="1" w:line="560" w:lineRule="exact"/>
        <w:ind w:left="0" w:firstLine="640" w:firstLineChars="200"/>
        <w:contextualSpacing/>
        <w:jc w:val="both"/>
        <w:rPr>
          <w:rFonts w:hint="default"/>
          <w:lang w:val="en-US" w:eastAsia="zh-CN"/>
        </w:rPr>
      </w:pPr>
      <w:r>
        <w:rPr>
          <w:rFonts w:hint="eastAsia" w:cs="仿宋_GB2312"/>
          <w:color w:val="000000" w:themeColor="text1"/>
          <w:u w:color="000000"/>
          <w:lang w:eastAsia="zh-CN"/>
          <w14:textFill>
            <w14:solidFill>
              <w14:schemeClr w14:val="tx1"/>
            </w14:solidFill>
          </w14:textFill>
        </w:rPr>
        <w:t>产权安置与货币补偿相结合安置是指搬迁安置对象选择产权安置结合货币补偿的安置方式。</w:t>
      </w:r>
      <w:r>
        <w:rPr>
          <w:rFonts w:hint="eastAsia"/>
          <w:lang w:eastAsia="zh-CN"/>
        </w:rPr>
        <w:t>被搬迁人选择货币补偿与产权安置房相结合的，被搬迁人可以在被搬迁房屋计算的货币补偿款内按相同的市场评估价回购所需的安置房面积，但选择的安置房不得小于该安置地最小套型面积，其回购安置房部分的货币补偿款</w:t>
      </w:r>
      <w:r>
        <w:rPr>
          <w:rFonts w:hint="eastAsia"/>
          <w:highlight w:val="none"/>
          <w:u w:val="none"/>
          <w:lang w:eastAsia="zh-CN"/>
        </w:rPr>
        <w:t>（货币补偿款总金额×回购的安置房面积</w:t>
      </w:r>
      <w:r>
        <w:rPr>
          <w:highlight w:val="none"/>
          <w:u w:val="none"/>
          <w:lang w:eastAsia="zh-CN"/>
        </w:rPr>
        <w:t>/总安置面积）</w:t>
      </w:r>
      <w:r>
        <w:rPr>
          <w:lang w:eastAsia="zh-CN"/>
        </w:rPr>
        <w:t>直接冲抵安置房购房款，购房款的差额部分由被</w:t>
      </w:r>
      <w:r>
        <w:rPr>
          <w:rFonts w:hint="eastAsia"/>
          <w:lang w:eastAsia="zh-CN"/>
        </w:rPr>
        <w:t>搬迁</w:t>
      </w:r>
      <w:r>
        <w:rPr>
          <w:lang w:eastAsia="zh-CN"/>
        </w:rPr>
        <w:t>人按工程进度缴纳。</w:t>
      </w:r>
    </w:p>
    <w:p>
      <w:pPr>
        <w:pStyle w:val="3"/>
        <w:spacing w:before="100" w:beforeAutospacing="1" w:after="100" w:afterAutospacing="1" w:line="560" w:lineRule="exact"/>
        <w:ind w:left="0" w:firstLineChars="200"/>
        <w:contextualSpacing/>
        <w:jc w:val="both"/>
        <w:rPr>
          <w:rFonts w:hint="eastAsia"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（四）安置地点</w:t>
      </w:r>
    </w:p>
    <w:p>
      <w:pPr>
        <w:pStyle w:val="3"/>
        <w:spacing w:before="100" w:beforeAutospacing="1" w:after="100" w:afterAutospacing="1" w:line="560" w:lineRule="exact"/>
        <w:ind w:left="0" w:firstLineChars="200"/>
        <w:contextualSpacing/>
        <w:jc w:val="both"/>
        <w:rPr>
          <w:rFonts w:cs="仿宋_GB2312"/>
          <w:color w:val="000000" w:themeColor="text1"/>
          <w:u w:color="000000"/>
          <w:lang w:eastAsia="zh-CN"/>
          <w14:textFill>
            <w14:solidFill>
              <w14:schemeClr w14:val="tx1"/>
            </w14:solidFill>
          </w14:textFill>
        </w:rPr>
      </w:pPr>
      <w:r>
        <w:rPr>
          <w:rFonts w:cs="仿宋_GB2312"/>
          <w:color w:val="000000" w:themeColor="text1"/>
          <w:u w:color="000000"/>
          <w:lang w:eastAsia="zh-CN"/>
          <w14:textFill>
            <w14:solidFill>
              <w14:schemeClr w14:val="tx1"/>
            </w14:solidFill>
          </w14:textFill>
        </w:rPr>
        <w:t>公寓房位于永嘉县上塘新城区E-08b地块，安置房拟设计为高层公寓式住宅</w:t>
      </w:r>
      <w:r>
        <w:rPr>
          <w:rFonts w:hint="eastAsia" w:cs="仿宋_GB2312"/>
          <w:color w:val="000000" w:themeColor="text1"/>
          <w:u w:color="000000"/>
          <w:lang w:eastAsia="zh-CN"/>
          <w14:textFill>
            <w14:solidFill>
              <w14:schemeClr w14:val="tx1"/>
            </w14:solidFill>
          </w14:textFill>
        </w:rPr>
        <w:t>。政府提供的安置房为毛坯房。安置房土地性质使用方式为国有划拨。</w:t>
      </w:r>
      <w:r>
        <w:rPr>
          <w:rFonts w:cs="仿宋_GB2312"/>
          <w:color w:val="000000" w:themeColor="text1"/>
          <w:u w:color="000000"/>
          <w:lang w:eastAsia="zh-CN"/>
          <w14:textFill>
            <w14:solidFill>
              <w14:schemeClr w14:val="tx1"/>
            </w14:solidFill>
          </w14:textFill>
        </w:rPr>
        <w:t>具体根据安置地块控制性详细规划和县自然资源和规划局出具的规划设计条件书为准。</w:t>
      </w:r>
    </w:p>
    <w:p>
      <w:pPr>
        <w:pStyle w:val="3"/>
        <w:spacing w:before="100" w:beforeAutospacing="1" w:after="100" w:afterAutospacing="1" w:line="560" w:lineRule="exact"/>
        <w:ind w:left="0" w:firstLineChars="200"/>
        <w:contextualSpacing/>
        <w:jc w:val="both"/>
        <w:rPr>
          <w:rFonts w:hint="eastAsia" w:cs="仿宋_GB2312"/>
          <w:color w:val="000000" w:themeColor="text1"/>
          <w:u w:color="000000"/>
          <w:lang w:eastAsia="zh-CN"/>
          <w14:textFill>
            <w14:solidFill>
              <w14:schemeClr w14:val="tx1"/>
            </w14:solidFill>
          </w14:textFill>
        </w:rPr>
      </w:pPr>
      <w:r>
        <w:rPr>
          <w:rFonts w:hint="eastAsia" w:cs="仿宋_GB2312"/>
          <w:color w:val="000000" w:themeColor="text1"/>
          <w:u w:color="000000"/>
          <w:lang w:eastAsia="zh-CN"/>
          <w14:textFill>
            <w14:solidFill>
              <w14:schemeClr w14:val="tx1"/>
            </w14:solidFill>
          </w14:textFill>
        </w:rPr>
        <w:t>（五）安置成本</w:t>
      </w:r>
    </w:p>
    <w:p>
      <w:pPr>
        <w:pStyle w:val="3"/>
        <w:spacing w:before="100" w:beforeAutospacing="1" w:after="100" w:afterAutospacing="1" w:line="560" w:lineRule="exact"/>
        <w:ind w:left="0" w:firstLineChars="200"/>
        <w:contextualSpacing/>
        <w:jc w:val="both"/>
        <w:rPr>
          <w:rFonts w:hint="eastAsia" w:ascii="仿宋_GB2312" w:hAnsi="仿宋_GB2312" w:eastAsia="仿宋_GB2312" w:cs="仿宋_GB2312"/>
          <w:color w:val="000000" w:themeColor="text1"/>
          <w:sz w:val="32"/>
          <w:szCs w:val="32"/>
          <w:u w:color="000000"/>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u w:color="000000"/>
          <w:lang w:val="en-US" w:eastAsia="zh-CN" w:bidi="ar-SA"/>
          <w14:textFill>
            <w14:solidFill>
              <w14:schemeClr w14:val="tx1"/>
            </w14:solidFill>
          </w14:textFill>
        </w:rPr>
        <w:t>农村移民安置房综合成本价为4200元</w:t>
      </w:r>
      <w:r>
        <w:rPr>
          <w:rFonts w:hint="eastAsia" w:cs="仿宋_GB2312"/>
          <w:color w:val="000000" w:themeColor="text1"/>
          <w:sz w:val="32"/>
          <w:szCs w:val="32"/>
          <w:u w:color="000000"/>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u w:color="000000"/>
          <w:lang w:val="en-US" w:eastAsia="zh-CN" w:bidi="ar-SA"/>
          <w14:textFill>
            <w14:solidFill>
              <w14:schemeClr w14:val="tx1"/>
            </w14:solidFill>
          </w14:textFill>
        </w:rPr>
        <w:t>平方</w:t>
      </w:r>
      <w:r>
        <w:rPr>
          <w:rFonts w:hint="eastAsia" w:cs="仿宋_GB2312"/>
          <w:color w:val="000000" w:themeColor="text1"/>
          <w:u w:color="000000"/>
          <w:lang w:val="en-US" w:eastAsia="zh-CN"/>
          <w14:textFill>
            <w14:solidFill>
              <w14:schemeClr w14:val="tx1"/>
            </w14:solidFill>
          </w14:textFill>
        </w:rPr>
        <w:t>米，增购建筑面积价格（以下简称增购价）按市场评估价的80%计算，标准</w:t>
      </w:r>
      <w:r>
        <w:rPr>
          <w:rFonts w:hint="eastAsia" w:ascii="仿宋_GB2312" w:hAnsi="仿宋_GB2312" w:eastAsia="仿宋_GB2312" w:cs="仿宋_GB2312"/>
          <w:color w:val="000000" w:themeColor="text1"/>
          <w:sz w:val="32"/>
          <w:szCs w:val="32"/>
          <w:u w:color="000000"/>
          <w:lang w:val="en-US" w:eastAsia="zh-CN" w:bidi="ar-SA"/>
          <w14:textFill>
            <w14:solidFill>
              <w14:schemeClr w14:val="tx1"/>
            </w14:solidFill>
          </w14:textFill>
        </w:rPr>
        <w:t>样本安置房均价按市场评估确定。</w:t>
      </w:r>
    </w:p>
    <w:p>
      <w:pPr>
        <w:pStyle w:val="3"/>
        <w:snapToGrid w:val="0"/>
        <w:spacing w:before="100" w:beforeAutospacing="1" w:after="100" w:afterAutospacing="1" w:line="560" w:lineRule="exact"/>
        <w:ind w:left="0" w:firstLineChars="200"/>
        <w:contextualSpacing/>
        <w:jc w:val="both"/>
        <w:rPr>
          <w:rFonts w:hint="eastAsia" w:cs="仿宋_GB2312"/>
          <w:color w:val="000000" w:themeColor="text1"/>
          <w:highlight w:val="none"/>
          <w:u w:val="none" w:color="auto"/>
          <w:lang w:eastAsia="zh-CN"/>
          <w14:textFill>
            <w14:solidFill>
              <w14:schemeClr w14:val="tx1"/>
            </w14:solidFill>
          </w14:textFill>
        </w:rPr>
      </w:pPr>
      <w:r>
        <w:rPr>
          <w:rFonts w:hint="eastAsia" w:ascii="黑体" w:hAnsi="黑体" w:eastAsia="黑体" w:cs="黑体"/>
          <w:b/>
          <w:bCs/>
          <w:spacing w:val="7"/>
          <w:highlight w:val="none"/>
          <w:u w:val="none" w:color="auto"/>
          <w:lang w:eastAsia="zh-CN"/>
        </w:rPr>
        <w:t>第十</w:t>
      </w:r>
      <w:r>
        <w:rPr>
          <w:rFonts w:hint="eastAsia" w:ascii="黑体" w:hAnsi="黑体" w:eastAsia="黑体" w:cs="黑体"/>
          <w:b/>
          <w:bCs/>
          <w:spacing w:val="7"/>
          <w:highlight w:val="none"/>
          <w:u w:val="none" w:color="auto"/>
          <w:lang w:val="en-US" w:eastAsia="zh-CN"/>
        </w:rPr>
        <w:t>四</w:t>
      </w:r>
      <w:r>
        <w:rPr>
          <w:rFonts w:hint="eastAsia" w:ascii="黑体" w:hAnsi="黑体" w:eastAsia="黑体" w:cs="黑体"/>
          <w:b/>
          <w:bCs/>
          <w:spacing w:val="7"/>
          <w:highlight w:val="none"/>
          <w:u w:val="none" w:color="auto"/>
          <w:lang w:eastAsia="zh-CN"/>
        </w:rPr>
        <w:t>条</w:t>
      </w:r>
      <w:r>
        <w:rPr>
          <w:rFonts w:cs="仿宋_GB2312"/>
          <w:color w:val="000000" w:themeColor="text1"/>
          <w:highlight w:val="none"/>
          <w:u w:val="none" w:color="auto"/>
          <w:lang w:eastAsia="zh-CN"/>
          <w14:textFill>
            <w14:solidFill>
              <w14:schemeClr w14:val="tx1"/>
            </w14:solidFill>
          </w14:textFill>
        </w:rPr>
        <w:t xml:space="preserve"> </w:t>
      </w:r>
      <w:r>
        <w:rPr>
          <w:rFonts w:hint="eastAsia" w:cs="仿宋_GB2312"/>
          <w:color w:val="000000" w:themeColor="text1"/>
          <w:highlight w:val="none"/>
          <w:u w:val="none" w:color="auto"/>
          <w:lang w:eastAsia="zh-CN"/>
          <w14:textFill>
            <w14:solidFill>
              <w14:schemeClr w14:val="tx1"/>
            </w14:solidFill>
          </w14:textFill>
        </w:rPr>
        <w:t xml:space="preserve"> 搬迁安置面积及价格</w:t>
      </w:r>
    </w:p>
    <w:p>
      <w:pPr>
        <w:pStyle w:val="3"/>
        <w:snapToGrid w:val="0"/>
        <w:spacing w:before="100" w:beforeAutospacing="1" w:after="100" w:afterAutospacing="1" w:line="560" w:lineRule="exact"/>
        <w:ind w:left="0" w:firstLineChars="200"/>
        <w:contextualSpacing/>
        <w:jc w:val="both"/>
        <w:rPr>
          <w:rFonts w:hint="eastAsia"/>
          <w:strike w:val="0"/>
          <w:dstrike w:val="0"/>
          <w:u w:val="none"/>
          <w:lang w:eastAsia="zh-CN"/>
        </w:rPr>
      </w:pPr>
      <w:r>
        <w:rPr>
          <w:rFonts w:hint="eastAsia"/>
          <w:lang w:val="en-US" w:eastAsia="zh-CN"/>
        </w:rPr>
        <w:t>（一）</w:t>
      </w:r>
      <w:r>
        <w:rPr>
          <w:lang w:eastAsia="zh-CN"/>
        </w:rPr>
        <w:t>对合法取得</w:t>
      </w:r>
      <w:r>
        <w:rPr>
          <w:rFonts w:cs="仿宋_GB2312"/>
          <w:lang w:eastAsia="zh-CN"/>
        </w:rPr>
        <w:t>“</w:t>
      </w:r>
      <w:r>
        <w:rPr>
          <w:lang w:eastAsia="zh-CN"/>
        </w:rPr>
        <w:t>土地审批手续</w:t>
      </w:r>
      <w:r>
        <w:rPr>
          <w:rFonts w:cs="仿宋_GB2312"/>
          <w:lang w:eastAsia="zh-CN"/>
        </w:rPr>
        <w:t>”</w:t>
      </w:r>
      <w:r>
        <w:rPr>
          <w:lang w:eastAsia="zh-CN"/>
        </w:rPr>
        <w:t>或《土地使用权</w:t>
      </w:r>
      <w:r>
        <w:rPr>
          <w:spacing w:val="-5"/>
          <w:lang w:eastAsia="zh-CN"/>
        </w:rPr>
        <w:t>证》和“建设工程规划许可证</w:t>
      </w:r>
      <w:r>
        <w:rPr>
          <w:rFonts w:cs="仿宋_GB2312"/>
          <w:spacing w:val="-5"/>
          <w:lang w:eastAsia="zh-CN"/>
        </w:rPr>
        <w:t>”</w:t>
      </w:r>
      <w:r>
        <w:rPr>
          <w:spacing w:val="-5"/>
          <w:lang w:eastAsia="zh-CN"/>
        </w:rPr>
        <w:t>因故未建的地基，按批准“建设</w:t>
      </w:r>
      <w:r>
        <w:rPr>
          <w:lang w:eastAsia="zh-CN"/>
        </w:rPr>
        <w:t>工程规划许可证”上载明的建筑面积计算安置面</w:t>
      </w:r>
      <w:r>
        <w:rPr>
          <w:spacing w:val="-58"/>
          <w:lang w:eastAsia="zh-CN"/>
        </w:rPr>
        <w:t>积；</w:t>
      </w:r>
      <w:r>
        <w:rPr>
          <w:lang w:eastAsia="zh-CN"/>
        </w:rPr>
        <w:t>对未经规划许可但已取</w:t>
      </w:r>
      <w:r>
        <w:rPr>
          <w:spacing w:val="-9"/>
          <w:lang w:eastAsia="zh-CN"/>
        </w:rPr>
        <w:t>得</w:t>
      </w:r>
      <w:r>
        <w:rPr>
          <w:lang w:eastAsia="zh-CN"/>
        </w:rPr>
        <w:t>“土地审批手续</w:t>
      </w:r>
      <w:r>
        <w:rPr>
          <w:rFonts w:cs="仿宋_GB2312"/>
          <w:spacing w:val="-9"/>
          <w:lang w:eastAsia="zh-CN"/>
        </w:rPr>
        <w:t>”</w:t>
      </w:r>
      <w:r>
        <w:rPr>
          <w:spacing w:val="-9"/>
          <w:lang w:eastAsia="zh-CN"/>
        </w:rPr>
        <w:t>或</w:t>
      </w:r>
      <w:r>
        <w:rPr>
          <w:lang w:eastAsia="zh-CN"/>
        </w:rPr>
        <w:t>《土地使用权证</w:t>
      </w:r>
      <w:r>
        <w:rPr>
          <w:spacing w:val="-80"/>
          <w:lang w:eastAsia="zh-CN"/>
        </w:rPr>
        <w:t>》</w:t>
      </w:r>
      <w:r>
        <w:rPr>
          <w:spacing w:val="-9"/>
          <w:lang w:eastAsia="zh-CN"/>
        </w:rPr>
        <w:t>，</w:t>
      </w:r>
      <w:r>
        <w:rPr>
          <w:lang w:eastAsia="zh-CN"/>
        </w:rPr>
        <w:t>其附图已</w:t>
      </w:r>
      <w:r>
        <w:rPr>
          <w:spacing w:val="-5"/>
          <w:lang w:eastAsia="zh-CN"/>
        </w:rPr>
        <w:t>标明地基间数，并经审查认定为地基（不包括道坦）的，按“土</w:t>
      </w:r>
      <w:r>
        <w:rPr>
          <w:lang w:eastAsia="zh-CN"/>
        </w:rPr>
        <w:t>地审批手续</w:t>
      </w:r>
      <w:r>
        <w:rPr>
          <w:rFonts w:cs="仿宋_GB2312"/>
          <w:lang w:eastAsia="zh-CN"/>
        </w:rPr>
        <w:t>”</w:t>
      </w:r>
      <w:r>
        <w:rPr>
          <w:lang w:eastAsia="zh-CN"/>
        </w:rPr>
        <w:t>或《土地使用权证》上载明的每间用地面积</w:t>
      </w:r>
      <w:r>
        <w:rPr>
          <w:rFonts w:cs="仿宋_GB2312"/>
          <w:spacing w:val="1"/>
          <w:lang w:eastAsia="zh-CN"/>
        </w:rPr>
        <w:t>1</w:t>
      </w:r>
      <w:r>
        <w:rPr>
          <w:spacing w:val="1"/>
          <w:lang w:eastAsia="zh-CN"/>
        </w:rPr>
        <w:t>：</w:t>
      </w:r>
      <w:r>
        <w:rPr>
          <w:rFonts w:cs="仿宋_GB2312"/>
          <w:spacing w:val="1"/>
          <w:lang w:eastAsia="zh-CN"/>
        </w:rPr>
        <w:t>1</w:t>
      </w:r>
      <w:r>
        <w:rPr>
          <w:rFonts w:hint="eastAsia" w:cs="仿宋_GB2312"/>
          <w:spacing w:val="1"/>
          <w:lang w:eastAsia="zh-CN"/>
        </w:rPr>
        <w:t>计算安置面积（如单间地基面积大于50平方米时，以50平方米计算,如单间地基上已建部分建筑，且按照产权调换计算的总安置面积已大于120平方米的，剩余地基面积按合法道坦补偿）</w:t>
      </w:r>
      <w:r>
        <w:rPr>
          <w:rFonts w:hint="eastAsia" w:cs="仿宋_GB2312"/>
          <w:lang w:eastAsia="zh-CN"/>
        </w:rPr>
        <w:t>；</w:t>
      </w:r>
      <w:r>
        <w:rPr>
          <w:lang w:eastAsia="zh-CN"/>
        </w:rPr>
        <w:t>如合法取</w:t>
      </w:r>
      <w:r>
        <w:rPr>
          <w:spacing w:val="-29"/>
          <w:lang w:eastAsia="zh-CN"/>
        </w:rPr>
        <w:t>得</w:t>
      </w:r>
      <w:r>
        <w:rPr>
          <w:lang w:eastAsia="zh-CN"/>
        </w:rPr>
        <w:t>“土地审批手续</w:t>
      </w:r>
      <w:r>
        <w:rPr>
          <w:rFonts w:cs="仿宋_GB2312"/>
          <w:spacing w:val="-29"/>
          <w:lang w:eastAsia="zh-CN"/>
        </w:rPr>
        <w:t>”</w:t>
      </w:r>
      <w:r>
        <w:rPr>
          <w:spacing w:val="-29"/>
          <w:lang w:eastAsia="zh-CN"/>
        </w:rPr>
        <w:t>或</w:t>
      </w:r>
      <w:r>
        <w:rPr>
          <w:lang w:eastAsia="zh-CN"/>
        </w:rPr>
        <w:t>《土地使用权证</w:t>
      </w:r>
      <w:r>
        <w:rPr>
          <w:spacing w:val="-29"/>
          <w:lang w:eastAsia="zh-CN"/>
        </w:rPr>
        <w:t>》</w:t>
      </w:r>
      <w:r>
        <w:rPr>
          <w:lang w:eastAsia="zh-CN"/>
        </w:rPr>
        <w:t>仅明确总用地面积</w:t>
      </w:r>
      <w:r>
        <w:rPr>
          <w:spacing w:val="-39"/>
          <w:lang w:eastAsia="zh-CN"/>
        </w:rPr>
        <w:t>，</w:t>
      </w:r>
      <w:r>
        <w:rPr>
          <w:lang w:eastAsia="zh-CN"/>
        </w:rPr>
        <w:t>但地基间数未标明</w:t>
      </w:r>
      <w:r>
        <w:rPr>
          <w:spacing w:val="-39"/>
          <w:lang w:eastAsia="zh-CN"/>
        </w:rPr>
        <w:t>，</w:t>
      </w:r>
      <w:r>
        <w:rPr>
          <w:lang w:eastAsia="zh-CN"/>
        </w:rPr>
        <w:t>且审批档案也未标注地基间数的</w:t>
      </w:r>
      <w:r>
        <w:rPr>
          <w:spacing w:val="-39"/>
          <w:lang w:eastAsia="zh-CN"/>
        </w:rPr>
        <w:t>，</w:t>
      </w:r>
      <w:r>
        <w:rPr>
          <w:lang w:eastAsia="zh-CN"/>
        </w:rPr>
        <w:t>即按合法总用地面积的</w:t>
      </w:r>
      <w:r>
        <w:rPr>
          <w:rFonts w:cs="仿宋_GB2312"/>
          <w:spacing w:val="-2"/>
          <w:lang w:eastAsia="zh-CN"/>
        </w:rPr>
        <w:t>50%</w:t>
      </w:r>
      <w:r>
        <w:rPr>
          <w:spacing w:val="-2"/>
          <w:lang w:eastAsia="zh-CN"/>
        </w:rPr>
        <w:t>计算安置面积；多余用地面积按合法道</w:t>
      </w:r>
      <w:r>
        <w:rPr>
          <w:lang w:eastAsia="zh-CN"/>
        </w:rPr>
        <w:t>坦给予</w:t>
      </w:r>
      <w:r>
        <w:rPr>
          <w:rFonts w:cs="仿宋_GB2312"/>
          <w:lang w:eastAsia="zh-CN"/>
        </w:rPr>
        <w:t>300</w:t>
      </w:r>
      <w:r>
        <w:rPr>
          <w:lang w:eastAsia="zh-CN"/>
        </w:rPr>
        <w:t>元</w:t>
      </w:r>
      <w:r>
        <w:rPr>
          <w:rFonts w:cs="仿宋_GB2312"/>
          <w:lang w:eastAsia="zh-CN"/>
        </w:rPr>
        <w:t>/</w:t>
      </w:r>
      <w:r>
        <w:rPr>
          <w:lang w:eastAsia="zh-CN"/>
        </w:rPr>
        <w:t>平方米的货币补偿，安置房价格按综合成本价计算，不享受</w:t>
      </w:r>
      <w:r>
        <w:rPr>
          <w:rFonts w:hint="eastAsia"/>
          <w:lang w:eastAsia="zh-CN"/>
        </w:rPr>
        <w:t>设计套型差和</w:t>
      </w:r>
      <w:r>
        <w:rPr>
          <w:lang w:eastAsia="zh-CN"/>
        </w:rPr>
        <w:t>奖励政策</w:t>
      </w:r>
      <w:r>
        <w:rPr>
          <w:rFonts w:hint="eastAsia"/>
          <w:lang w:eastAsia="zh-CN"/>
        </w:rPr>
        <w:t>。</w:t>
      </w:r>
    </w:p>
    <w:p>
      <w:pPr>
        <w:pStyle w:val="3"/>
        <w:spacing w:before="100" w:beforeAutospacing="1" w:after="100" w:afterAutospacing="1" w:line="560" w:lineRule="exact"/>
        <w:ind w:left="0" w:firstLineChars="200"/>
        <w:contextualSpacing/>
        <w:jc w:val="both"/>
        <w:rPr>
          <w:rFonts w:hint="eastAsia"/>
          <w:lang w:eastAsia="zh-CN"/>
        </w:rPr>
      </w:pPr>
      <w:r>
        <w:rPr>
          <w:rFonts w:hint="eastAsia"/>
          <w:lang w:val="en-US" w:eastAsia="zh-CN"/>
        </w:rPr>
        <w:t>（二）</w:t>
      </w:r>
      <w:r>
        <w:rPr>
          <w:rFonts w:hint="eastAsia"/>
          <w:lang w:eastAsia="zh-CN"/>
        </w:rPr>
        <w:t>被搬迁人属本村集体经济组织成员且符合“一户一宅”宅基地审批条件的农村移民户、或</w:t>
      </w:r>
      <w:r>
        <w:rPr>
          <w:rFonts w:hint="eastAsia"/>
          <w:lang w:val="en-US" w:eastAsia="zh-CN"/>
        </w:rPr>
        <w:t>已合法取得“土地审批手续” 或“土地使用证”但未建房屋、</w:t>
      </w:r>
      <w:r>
        <w:rPr>
          <w:rFonts w:hint="eastAsia"/>
          <w:lang w:eastAsia="zh-CN"/>
        </w:rPr>
        <w:t>或被搬迁房屋总安置面积（另有集体土地性质房屋应合并计算）低于人均30平方米的住房困难户，</w:t>
      </w:r>
      <w:r>
        <w:rPr>
          <w:rFonts w:hint="eastAsia"/>
          <w:highlight w:val="none"/>
          <w:u w:val="none"/>
          <w:lang w:eastAsia="zh-CN"/>
        </w:rPr>
        <w:t>经全家常住直系亲属（已分户且有合法房屋的除外）</w:t>
      </w:r>
      <w:r>
        <w:rPr>
          <w:rFonts w:hint="eastAsia"/>
          <w:lang w:eastAsia="zh-CN"/>
        </w:rPr>
        <w:t>合并计算仍人均不足30平方米（含继承关系的直系亲属名下合并计算人均不足30平方米）的，可以补足到人均30平方米。</w:t>
      </w:r>
    </w:p>
    <w:p>
      <w:pPr>
        <w:pStyle w:val="3"/>
        <w:spacing w:before="100" w:beforeAutospacing="1" w:after="100" w:afterAutospacing="1" w:line="560" w:lineRule="exact"/>
        <w:ind w:left="0" w:firstLineChars="200"/>
        <w:contextualSpacing/>
        <w:jc w:val="both"/>
        <w:rPr>
          <w:rFonts w:hint="eastAsia"/>
          <w:strike w:val="0"/>
          <w:dstrike w:val="0"/>
          <w:u w:val="none"/>
          <w:lang w:eastAsia="zh-CN"/>
        </w:rPr>
      </w:pPr>
      <w:r>
        <w:rPr>
          <w:rFonts w:hint="eastAsia"/>
          <w:lang w:val="en-US" w:eastAsia="zh-CN"/>
        </w:rPr>
        <w:t>（三）</w:t>
      </w:r>
      <w:r>
        <w:rPr>
          <w:rFonts w:hint="eastAsia"/>
          <w:strike w:val="0"/>
          <w:dstrike w:val="0"/>
          <w:u w:val="none"/>
          <w:lang w:eastAsia="zh-CN"/>
        </w:rPr>
        <w:t>移民搬迁安置补偿协议签约截止日前，被认定为农村移民的夫妻双方在2016 年1 月1 日前只生育一个孩子的农村移民户，符合《浙江省人口与计划生育条例》独生子女政策并领取独生子女父母光荣证的，且未再生育的；或已依法结婚登记，双方均未曾生育或收养子女的，可增计一个安置人口，给予30平方米的应安置面积，该安置人口不享受补助、奖励、生产安置等政策。</w:t>
      </w:r>
    </w:p>
    <w:p>
      <w:pPr>
        <w:pStyle w:val="3"/>
        <w:spacing w:before="100" w:beforeAutospacing="1" w:after="100" w:afterAutospacing="1" w:line="560" w:lineRule="exact"/>
        <w:ind w:left="0" w:firstLineChars="200"/>
        <w:contextualSpacing/>
        <w:jc w:val="both"/>
        <w:rPr>
          <w:rFonts w:hint="eastAsia"/>
          <w:lang w:eastAsia="zh-CN"/>
        </w:rPr>
      </w:pPr>
      <w:r>
        <w:rPr>
          <w:rFonts w:hint="eastAsia"/>
          <w:lang w:eastAsia="zh-CN"/>
        </w:rPr>
        <w:t>农村移民户总安置面积仍小于设计的安置房最小套型面积的，可以购买至安置房最小套型面积，其中超出人均30平方米，但不高于人均50平方米的按增购价计算，超出人均50平方米的，按市场价计算。</w:t>
      </w:r>
    </w:p>
    <w:p>
      <w:pPr>
        <w:pStyle w:val="3"/>
        <w:numPr>
          <w:ilvl w:val="255"/>
          <w:numId w:val="0"/>
        </w:numPr>
        <w:spacing w:before="100" w:beforeAutospacing="1" w:after="100" w:afterAutospacing="1" w:line="560" w:lineRule="exact"/>
        <w:ind w:firstLine="640" w:firstLineChars="200"/>
        <w:contextualSpacing/>
        <w:jc w:val="both"/>
        <w:rPr>
          <w:rFonts w:hint="eastAsia" w:ascii="黑体" w:hAnsi="黑体" w:eastAsia="黑体" w:cs="黑体"/>
          <w:lang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highlight w:val="none"/>
          <w:u w:val="none"/>
          <w:lang w:eastAsia="zh-CN"/>
        </w:rPr>
      </w:pPr>
      <w:r>
        <w:rPr>
          <w:rFonts w:ascii="黑体" w:hAnsi="黑体" w:eastAsia="黑体" w:cs="黑体"/>
          <w:highlight w:val="none"/>
          <w:u w:val="none"/>
          <w:lang w:eastAsia="zh-CN"/>
        </w:rPr>
        <w:t>第</w:t>
      </w:r>
      <w:r>
        <w:rPr>
          <w:rFonts w:hint="eastAsia" w:ascii="黑体" w:hAnsi="黑体" w:eastAsia="黑体" w:cs="黑体"/>
          <w:highlight w:val="none"/>
          <w:u w:val="none"/>
          <w:lang w:eastAsia="zh-CN"/>
        </w:rPr>
        <w:t>五</w:t>
      </w:r>
      <w:r>
        <w:rPr>
          <w:rFonts w:ascii="黑体" w:hAnsi="黑体" w:eastAsia="黑体" w:cs="黑体"/>
          <w:highlight w:val="none"/>
          <w:u w:val="none"/>
          <w:lang w:eastAsia="zh-CN"/>
        </w:rPr>
        <w:t>章</w:t>
      </w:r>
      <w:r>
        <w:rPr>
          <w:rFonts w:hint="eastAsia" w:ascii="黑体" w:hAnsi="黑体" w:eastAsia="黑体" w:cs="黑体"/>
          <w:highlight w:val="none"/>
          <w:u w:val="none"/>
          <w:lang w:eastAsia="zh-CN"/>
        </w:rPr>
        <w:t xml:space="preserve"> </w:t>
      </w:r>
      <w:r>
        <w:rPr>
          <w:rFonts w:ascii="黑体" w:hAnsi="黑体" w:eastAsia="黑体" w:cs="黑体"/>
          <w:highlight w:val="none"/>
          <w:u w:val="none"/>
          <w:lang w:eastAsia="zh-CN"/>
        </w:rPr>
        <w:t>合法房屋产权认定标准和价值评估</w:t>
      </w:r>
    </w:p>
    <w:p>
      <w:pPr>
        <w:pStyle w:val="3"/>
        <w:numPr>
          <w:ilvl w:val="255"/>
          <w:numId w:val="0"/>
        </w:numPr>
        <w:spacing w:before="100" w:beforeAutospacing="1" w:after="100" w:afterAutospacing="1" w:line="560" w:lineRule="exact"/>
        <w:ind w:firstLine="643" w:firstLineChars="200"/>
        <w:contextualSpacing/>
        <w:jc w:val="both"/>
        <w:rPr>
          <w:rFonts w:ascii="黑体" w:hAnsi="黑体" w:eastAsia="黑体" w:cs="黑体"/>
          <w:b/>
          <w:bCs/>
          <w:strike/>
          <w:dstrike w:val="0"/>
          <w:lang w:eastAsia="zh-CN"/>
        </w:rPr>
      </w:pP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eastAsia="zh-CN"/>
        </w:rPr>
        <w:t>十五</w:t>
      </w:r>
      <w:r>
        <w:rPr>
          <w:rFonts w:ascii="黑体" w:hAnsi="黑体" w:eastAsia="黑体" w:cs="黑体"/>
          <w:b/>
          <w:bCs/>
          <w:lang w:eastAsia="zh-CN"/>
        </w:rPr>
        <w:t>条</w:t>
      </w:r>
      <w:r>
        <w:rPr>
          <w:rFonts w:hint="eastAsia" w:ascii="黑体" w:hAnsi="黑体" w:eastAsia="黑体" w:cs="黑体"/>
          <w:lang w:eastAsia="zh-CN"/>
        </w:rPr>
        <w:t xml:space="preserve"> </w:t>
      </w:r>
      <w:r>
        <w:rPr>
          <w:rFonts w:hint="eastAsia"/>
          <w:lang w:eastAsia="zh-CN"/>
        </w:rPr>
        <w:t>被搬迁</w:t>
      </w:r>
      <w:r>
        <w:rPr>
          <w:lang w:eastAsia="zh-CN"/>
        </w:rPr>
        <w:t>房屋的土地面积、建筑面积及用途以《房屋所有权证》、《土地使用证》</w:t>
      </w:r>
      <w:r>
        <w:rPr>
          <w:rFonts w:hint="eastAsia"/>
          <w:lang w:eastAsia="zh-CN"/>
        </w:rPr>
        <w:t>、《不动产权证书》</w:t>
      </w:r>
      <w:r>
        <w:rPr>
          <w:lang w:eastAsia="zh-CN"/>
        </w:rPr>
        <w:t>或者其他合法产权凭证记载的内容为准。</w:t>
      </w:r>
      <w:r>
        <w:rPr>
          <w:rFonts w:hint="eastAsia"/>
          <w:color w:val="000000" w:themeColor="text1"/>
          <w:lang w:eastAsia="zh-CN"/>
          <w14:textFill>
            <w14:solidFill>
              <w14:schemeClr w14:val="tx1"/>
            </w14:solidFill>
          </w14:textFill>
        </w:rPr>
        <w:t>实施单位</w:t>
      </w:r>
      <w:r>
        <w:rPr>
          <w:rFonts w:hint="eastAsia"/>
          <w:lang w:eastAsia="zh-CN"/>
        </w:rPr>
        <w:t>或被搬迁人认为相关证件记载内容与实际不符的,可向相关职能部门申请核对确认</w:t>
      </w:r>
      <w:r>
        <w:rPr>
          <w:lang w:eastAsia="zh-CN"/>
        </w:rPr>
        <w:t>。</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eastAsia="zh-CN"/>
        </w:rPr>
        <w:t>十六</w:t>
      </w:r>
      <w:r>
        <w:rPr>
          <w:rFonts w:ascii="黑体" w:hAnsi="黑体" w:eastAsia="黑体" w:cs="黑体"/>
          <w:b/>
          <w:bCs/>
          <w:lang w:eastAsia="zh-CN"/>
        </w:rPr>
        <w:t>条</w:t>
      </w:r>
      <w:r>
        <w:rPr>
          <w:rFonts w:hint="eastAsia" w:ascii="黑体" w:hAnsi="黑体" w:eastAsia="黑体" w:cs="黑体"/>
          <w:lang w:eastAsia="zh-CN"/>
        </w:rPr>
        <w:t xml:space="preserve"> </w:t>
      </w:r>
      <w:r>
        <w:rPr>
          <w:rFonts w:hint="eastAsia"/>
          <w:lang w:eastAsia="zh-CN"/>
        </w:rPr>
        <w:t>未经登记房屋经认定视同为合法的，其建筑面积和基底面积由实施单位委托有资质的中介机构实地勘测确认。合法建筑的认定按如下标准执行</w:t>
      </w:r>
      <w:r>
        <w:rPr>
          <w:lang w:eastAsia="zh-CN"/>
        </w:rPr>
        <w:t>：</w:t>
      </w:r>
    </w:p>
    <w:p>
      <w:pPr>
        <w:pStyle w:val="3"/>
        <w:snapToGrid w:val="0"/>
        <w:spacing w:before="100" w:beforeAutospacing="1" w:after="100" w:afterAutospacing="1" w:line="560" w:lineRule="exact"/>
        <w:ind w:left="0" w:firstLineChars="200"/>
        <w:contextualSpacing/>
        <w:jc w:val="both"/>
        <w:rPr>
          <w:lang w:eastAsia="zh-CN"/>
        </w:rPr>
      </w:pPr>
      <w:r>
        <w:rPr>
          <w:rFonts w:hint="eastAsia" w:cs="仿宋_GB2312"/>
          <w:lang w:eastAsia="zh-CN"/>
        </w:rPr>
        <w:t>（一）</w:t>
      </w:r>
      <w:r>
        <w:rPr>
          <w:lang w:eastAsia="zh-CN"/>
        </w:rPr>
        <w:t>凡在</w:t>
      </w:r>
      <w:r>
        <w:rPr>
          <w:rFonts w:cs="仿宋_GB2312"/>
          <w:lang w:eastAsia="zh-CN"/>
        </w:rPr>
        <w:t>1982</w:t>
      </w:r>
      <w:r>
        <w:rPr>
          <w:lang w:eastAsia="zh-CN"/>
        </w:rPr>
        <w:t>年</w:t>
      </w:r>
      <w:r>
        <w:rPr>
          <w:rFonts w:cs="仿宋_GB2312"/>
          <w:lang w:eastAsia="zh-CN"/>
        </w:rPr>
        <w:t>2</w:t>
      </w:r>
      <w:r>
        <w:rPr>
          <w:lang w:eastAsia="zh-CN"/>
        </w:rPr>
        <w:t>月</w:t>
      </w:r>
      <w:r>
        <w:rPr>
          <w:rFonts w:cs="仿宋_GB2312"/>
          <w:lang w:eastAsia="zh-CN"/>
        </w:rPr>
        <w:t>12</w:t>
      </w:r>
      <w:r>
        <w:rPr>
          <w:lang w:eastAsia="zh-CN"/>
        </w:rPr>
        <w:t>日前建造的房屋</w:t>
      </w:r>
      <w:r>
        <w:rPr>
          <w:spacing w:val="-115"/>
          <w:lang w:eastAsia="zh-CN"/>
        </w:rPr>
        <w:t>，</w:t>
      </w:r>
      <w:r>
        <w:rPr>
          <w:lang w:eastAsia="zh-CN"/>
        </w:rPr>
        <w:t>虽未取得有关批准</w:t>
      </w:r>
      <w:r>
        <w:rPr>
          <w:spacing w:val="-5"/>
          <w:lang w:eastAsia="zh-CN"/>
        </w:rPr>
        <w:t>建房手续，但权属四至清楚，未进行过拆建、扩建、改建的，视</w:t>
      </w:r>
      <w:r>
        <w:rPr>
          <w:lang w:eastAsia="zh-CN"/>
        </w:rPr>
        <w:t>为合法建筑。</w:t>
      </w:r>
    </w:p>
    <w:p>
      <w:pPr>
        <w:pStyle w:val="3"/>
        <w:snapToGrid w:val="0"/>
        <w:spacing w:before="100" w:beforeAutospacing="1" w:after="100" w:afterAutospacing="1" w:line="560" w:lineRule="exact"/>
        <w:ind w:left="0" w:firstLineChars="200"/>
        <w:contextualSpacing/>
        <w:jc w:val="both"/>
        <w:rPr>
          <w:lang w:eastAsia="zh-CN"/>
        </w:rPr>
      </w:pPr>
      <w:r>
        <w:rPr>
          <w:rFonts w:hint="eastAsia" w:cs="仿宋_GB2312"/>
          <w:lang w:eastAsia="zh-CN"/>
        </w:rPr>
        <w:t>（二）</w:t>
      </w:r>
      <w:r>
        <w:rPr>
          <w:lang w:eastAsia="zh-CN"/>
        </w:rPr>
        <w:t>凡在</w:t>
      </w:r>
      <w:r>
        <w:rPr>
          <w:rFonts w:cs="仿宋_GB2312"/>
          <w:lang w:eastAsia="zh-CN"/>
        </w:rPr>
        <w:t>1982</w:t>
      </w:r>
      <w:r>
        <w:rPr>
          <w:lang w:eastAsia="zh-CN"/>
        </w:rPr>
        <w:t>年</w:t>
      </w:r>
      <w:r>
        <w:rPr>
          <w:rFonts w:cs="仿宋_GB2312"/>
          <w:lang w:eastAsia="zh-CN"/>
        </w:rPr>
        <w:t>2</w:t>
      </w:r>
      <w:r>
        <w:rPr>
          <w:lang w:eastAsia="zh-CN"/>
        </w:rPr>
        <w:t>月</w:t>
      </w:r>
      <w:r>
        <w:rPr>
          <w:rFonts w:cs="仿宋_GB2312"/>
          <w:lang w:eastAsia="zh-CN"/>
        </w:rPr>
        <w:t>13</w:t>
      </w:r>
      <w:r>
        <w:rPr>
          <w:lang w:eastAsia="zh-CN"/>
        </w:rPr>
        <w:t>日至</w:t>
      </w:r>
      <w:r>
        <w:rPr>
          <w:rFonts w:cs="仿宋_GB2312"/>
          <w:lang w:eastAsia="zh-CN"/>
        </w:rPr>
        <w:t>1990</w:t>
      </w:r>
      <w:r>
        <w:rPr>
          <w:lang w:eastAsia="zh-CN"/>
        </w:rPr>
        <w:t>年</w:t>
      </w:r>
      <w:r>
        <w:rPr>
          <w:rFonts w:cs="仿宋_GB2312"/>
          <w:lang w:eastAsia="zh-CN"/>
        </w:rPr>
        <w:t>3</w:t>
      </w:r>
      <w:r>
        <w:rPr>
          <w:lang w:eastAsia="zh-CN"/>
        </w:rPr>
        <w:t>月</w:t>
      </w:r>
      <w:r>
        <w:rPr>
          <w:rFonts w:cs="仿宋_GB2312"/>
          <w:lang w:eastAsia="zh-CN"/>
        </w:rPr>
        <w:t>31</w:t>
      </w:r>
      <w:r>
        <w:rPr>
          <w:lang w:eastAsia="zh-CN"/>
        </w:rPr>
        <w:t>日建造的房屋，虽未取</w:t>
      </w:r>
      <w:r>
        <w:rPr>
          <w:spacing w:val="-8"/>
          <w:lang w:eastAsia="zh-CN"/>
        </w:rPr>
        <w:t>得</w:t>
      </w:r>
      <w:r>
        <w:rPr>
          <w:lang w:eastAsia="zh-CN"/>
        </w:rPr>
        <w:t>《房屋所有权证</w:t>
      </w:r>
      <w:r>
        <w:rPr>
          <w:spacing w:val="-80"/>
          <w:lang w:eastAsia="zh-CN"/>
        </w:rPr>
        <w:t>》</w:t>
      </w:r>
      <w:r>
        <w:rPr>
          <w:spacing w:val="-8"/>
          <w:lang w:eastAsia="zh-CN"/>
        </w:rPr>
        <w:t>，</w:t>
      </w:r>
      <w:r>
        <w:rPr>
          <w:lang w:eastAsia="zh-CN"/>
        </w:rPr>
        <w:t>但已</w:t>
      </w:r>
      <w:r>
        <w:rPr>
          <w:spacing w:val="-8"/>
          <w:lang w:eastAsia="zh-CN"/>
        </w:rPr>
        <w:t>有</w:t>
      </w:r>
      <w:r>
        <w:rPr>
          <w:lang w:eastAsia="zh-CN"/>
        </w:rPr>
        <w:t>“土地审批手续</w:t>
      </w:r>
      <w:r>
        <w:rPr>
          <w:rFonts w:cs="仿宋_GB2312"/>
          <w:spacing w:val="-7"/>
          <w:lang w:eastAsia="zh-CN"/>
        </w:rPr>
        <w:t>”</w:t>
      </w:r>
      <w:r>
        <w:rPr>
          <w:spacing w:val="-8"/>
          <w:lang w:eastAsia="zh-CN"/>
        </w:rPr>
        <w:t>或</w:t>
      </w:r>
      <w:r>
        <w:rPr>
          <w:lang w:eastAsia="zh-CN"/>
        </w:rPr>
        <w:t>《土地使用权证</w:t>
      </w:r>
      <w:r>
        <w:rPr>
          <w:spacing w:val="-58"/>
          <w:lang w:eastAsia="zh-CN"/>
        </w:rPr>
        <w:t>》</w:t>
      </w:r>
      <w:r>
        <w:rPr>
          <w:lang w:eastAsia="zh-CN"/>
        </w:rPr>
        <w:t>或人民政府有关建房审批</w:t>
      </w:r>
      <w:r>
        <w:rPr>
          <w:spacing w:val="-58"/>
          <w:lang w:eastAsia="zh-CN"/>
        </w:rPr>
        <w:t>、</w:t>
      </w:r>
      <w:r>
        <w:rPr>
          <w:lang w:eastAsia="zh-CN"/>
        </w:rPr>
        <w:t>处罚补办手续的视为合法建筑。</w:t>
      </w:r>
    </w:p>
    <w:p>
      <w:pPr>
        <w:pStyle w:val="3"/>
        <w:snapToGrid w:val="0"/>
        <w:spacing w:before="100" w:beforeAutospacing="1" w:after="100" w:afterAutospacing="1" w:line="560" w:lineRule="exact"/>
        <w:ind w:left="0" w:firstLineChars="200"/>
        <w:contextualSpacing/>
        <w:jc w:val="both"/>
        <w:rPr>
          <w:lang w:eastAsia="zh-CN"/>
        </w:rPr>
      </w:pPr>
      <w:r>
        <w:rPr>
          <w:rFonts w:hint="eastAsia" w:cs="仿宋_GB2312"/>
          <w:lang w:eastAsia="zh-CN"/>
        </w:rPr>
        <w:t>（三）</w:t>
      </w:r>
      <w:r>
        <w:rPr>
          <w:lang w:eastAsia="zh-CN"/>
        </w:rPr>
        <w:t>凡在</w:t>
      </w:r>
      <w:r>
        <w:rPr>
          <w:rFonts w:cs="仿宋_GB2312"/>
          <w:lang w:eastAsia="zh-CN"/>
        </w:rPr>
        <w:t>1990</w:t>
      </w:r>
      <w:r>
        <w:rPr>
          <w:lang w:eastAsia="zh-CN"/>
        </w:rPr>
        <w:t>年</w:t>
      </w:r>
      <w:r>
        <w:rPr>
          <w:rFonts w:cs="仿宋_GB2312"/>
          <w:lang w:eastAsia="zh-CN"/>
        </w:rPr>
        <w:t>4</w:t>
      </w:r>
      <w:r>
        <w:rPr>
          <w:lang w:eastAsia="zh-CN"/>
        </w:rPr>
        <w:t>月</w:t>
      </w:r>
      <w:r>
        <w:rPr>
          <w:rFonts w:cs="仿宋_GB2312"/>
          <w:lang w:eastAsia="zh-CN"/>
        </w:rPr>
        <w:t>1</w:t>
      </w:r>
      <w:r>
        <w:rPr>
          <w:lang w:eastAsia="zh-CN"/>
        </w:rPr>
        <w:t>日以后在城乡规划区内建造的房屋，虽未取</w:t>
      </w:r>
      <w:r>
        <w:rPr>
          <w:spacing w:val="-8"/>
          <w:lang w:eastAsia="zh-CN"/>
        </w:rPr>
        <w:t>得</w:t>
      </w:r>
      <w:r>
        <w:rPr>
          <w:lang w:eastAsia="zh-CN"/>
        </w:rPr>
        <w:t>《房屋所有权证</w:t>
      </w:r>
      <w:r>
        <w:rPr>
          <w:spacing w:val="-80"/>
          <w:lang w:eastAsia="zh-CN"/>
        </w:rPr>
        <w:t>》</w:t>
      </w:r>
      <w:r>
        <w:rPr>
          <w:spacing w:val="-8"/>
          <w:lang w:eastAsia="zh-CN"/>
        </w:rPr>
        <w:t>，</w:t>
      </w:r>
      <w:r>
        <w:rPr>
          <w:lang w:eastAsia="zh-CN"/>
        </w:rPr>
        <w:t>但已</w:t>
      </w:r>
      <w:r>
        <w:rPr>
          <w:spacing w:val="-8"/>
          <w:lang w:eastAsia="zh-CN"/>
        </w:rPr>
        <w:t>有</w:t>
      </w:r>
      <w:r>
        <w:rPr>
          <w:lang w:eastAsia="zh-CN"/>
        </w:rPr>
        <w:t>“土地审批手续</w:t>
      </w:r>
      <w:r>
        <w:rPr>
          <w:rFonts w:cs="仿宋_GB2312"/>
          <w:spacing w:val="-7"/>
          <w:lang w:eastAsia="zh-CN"/>
        </w:rPr>
        <w:t>”</w:t>
      </w:r>
      <w:r>
        <w:rPr>
          <w:spacing w:val="-8"/>
          <w:lang w:eastAsia="zh-CN"/>
        </w:rPr>
        <w:t>或</w:t>
      </w:r>
      <w:r>
        <w:rPr>
          <w:lang w:eastAsia="zh-CN"/>
        </w:rPr>
        <w:t>《土地使用证》和“建设工程规划许可证”或“村镇规划建设许可证</w:t>
      </w:r>
      <w:r>
        <w:rPr>
          <w:rFonts w:cs="仿宋_GB2312"/>
          <w:lang w:eastAsia="zh-CN"/>
        </w:rPr>
        <w:t>”</w:t>
      </w:r>
      <w:r>
        <w:rPr>
          <w:lang w:eastAsia="zh-CN"/>
        </w:rPr>
        <w:t>或相关行政主管部门处罚补办手续的视为合法建筑</w:t>
      </w:r>
      <w:r>
        <w:rPr>
          <w:rFonts w:hint="eastAsia"/>
          <w:lang w:eastAsia="zh-CN"/>
        </w:rPr>
        <w:t>。</w:t>
      </w:r>
    </w:p>
    <w:p>
      <w:pPr>
        <w:pStyle w:val="3"/>
        <w:snapToGrid w:val="0"/>
        <w:spacing w:before="100" w:beforeAutospacing="1" w:after="100" w:afterAutospacing="1" w:line="560" w:lineRule="exact"/>
        <w:ind w:left="0" w:firstLineChars="200"/>
        <w:contextualSpacing/>
        <w:jc w:val="both"/>
        <w:rPr>
          <w:lang w:eastAsia="zh-CN"/>
        </w:rPr>
      </w:pPr>
      <w:r>
        <w:rPr>
          <w:rFonts w:hint="eastAsia"/>
          <w:lang w:eastAsia="zh-CN"/>
        </w:rPr>
        <w:t>（四）上述合法的土地面积、建筑面积,以有关证件上载明的内容为准。实际土地面积、建筑面积与有关证件上载明的内容不符的,由实施单位调查核实，以核实的合法面积为准。对核实结果确有异议的，经实施单位申请，由县政府组织相关职能部门复核认定</w:t>
      </w:r>
      <w:r>
        <w:rPr>
          <w:lang w:eastAsia="zh-CN"/>
        </w:rPr>
        <w:t>。</w:t>
      </w:r>
    </w:p>
    <w:p>
      <w:pPr>
        <w:pStyle w:val="3"/>
        <w:snapToGrid w:val="0"/>
        <w:spacing w:before="100" w:beforeAutospacing="1" w:after="100" w:afterAutospacing="1" w:line="560" w:lineRule="exact"/>
        <w:ind w:left="0" w:firstLine="671" w:firstLineChars="200"/>
        <w:contextualSpacing/>
        <w:jc w:val="both"/>
        <w:rPr>
          <w:lang w:eastAsia="zh-CN"/>
        </w:rPr>
      </w:pPr>
      <w:r>
        <w:rPr>
          <w:rFonts w:ascii="黑体" w:hAnsi="黑体" w:eastAsia="黑体" w:cs="黑体"/>
          <w:b/>
          <w:bCs/>
          <w:spacing w:val="7"/>
          <w:lang w:eastAsia="zh-CN"/>
        </w:rPr>
        <w:t>第</w:t>
      </w:r>
      <w:r>
        <w:rPr>
          <w:rFonts w:hint="eastAsia" w:ascii="黑体" w:hAnsi="黑体" w:eastAsia="黑体" w:cs="黑体"/>
          <w:b/>
          <w:bCs/>
          <w:spacing w:val="7"/>
          <w:lang w:eastAsia="zh-CN"/>
        </w:rPr>
        <w:t>十</w:t>
      </w:r>
      <w:r>
        <w:rPr>
          <w:rFonts w:hint="eastAsia" w:ascii="黑体" w:hAnsi="黑体" w:eastAsia="黑体" w:cs="黑体"/>
          <w:b/>
          <w:bCs/>
          <w:spacing w:val="7"/>
          <w:lang w:val="en-US" w:eastAsia="zh-CN"/>
        </w:rPr>
        <w:t>七</w:t>
      </w:r>
      <w:r>
        <w:rPr>
          <w:rFonts w:ascii="黑体" w:hAnsi="黑体" w:eastAsia="黑体" w:cs="黑体"/>
          <w:b/>
          <w:bCs/>
          <w:spacing w:val="7"/>
          <w:lang w:eastAsia="zh-CN"/>
        </w:rPr>
        <w:t>条</w:t>
      </w:r>
      <w:r>
        <w:rPr>
          <w:rFonts w:hint="eastAsia" w:ascii="黑体" w:hAnsi="黑体" w:eastAsia="黑体" w:cs="黑体"/>
          <w:spacing w:val="7"/>
          <w:lang w:eastAsia="zh-CN"/>
        </w:rPr>
        <w:t xml:space="preserve"> </w:t>
      </w:r>
      <w:r>
        <w:rPr>
          <w:spacing w:val="10"/>
          <w:lang w:eastAsia="zh-CN"/>
        </w:rPr>
        <w:t>本</w:t>
      </w:r>
      <w:r>
        <w:rPr>
          <w:lang w:eastAsia="zh-CN"/>
        </w:rPr>
        <w:t>工程项目范围内的被</w:t>
      </w:r>
      <w:r>
        <w:rPr>
          <w:rFonts w:hint="eastAsia"/>
          <w:lang w:eastAsia="zh-CN"/>
        </w:rPr>
        <w:t>搬迁</w:t>
      </w:r>
      <w:r>
        <w:rPr>
          <w:lang w:eastAsia="zh-CN"/>
        </w:rPr>
        <w:t>房屋重置价由评估机构根据房屋结构和修正系数评估确定</w:t>
      </w:r>
      <w:r>
        <w:rPr>
          <w:rFonts w:hint="eastAsia"/>
          <w:lang w:eastAsia="zh-CN"/>
        </w:rPr>
        <w:t>，</w:t>
      </w:r>
      <w:r>
        <w:rPr>
          <w:lang w:eastAsia="zh-CN"/>
        </w:rPr>
        <w:t>重置价成新率</w:t>
      </w:r>
      <w:r>
        <w:rPr>
          <w:rFonts w:hint="eastAsia"/>
          <w:lang w:eastAsia="zh-CN"/>
        </w:rPr>
        <w:t>不低于</w:t>
      </w:r>
      <w:r>
        <w:rPr>
          <w:lang w:eastAsia="zh-CN"/>
        </w:rPr>
        <w:t>70%</w:t>
      </w:r>
      <w:r>
        <w:rPr>
          <w:rFonts w:hint="eastAsia"/>
          <w:lang w:eastAsia="zh-CN"/>
        </w:rPr>
        <w:t>。</w:t>
      </w:r>
      <w:r>
        <w:rPr>
          <w:lang w:eastAsia="zh-CN"/>
        </w:rPr>
        <w:t>经认定为合法建筑或符合本方案</w:t>
      </w:r>
      <w:r>
        <w:rPr>
          <w:color w:val="000000" w:themeColor="text1"/>
          <w:lang w:eastAsia="zh-CN"/>
          <w14:textFill>
            <w14:solidFill>
              <w14:schemeClr w14:val="tx1"/>
            </w14:solidFill>
          </w14:textFill>
        </w:rPr>
        <w:t>第</w:t>
      </w:r>
      <w:r>
        <w:rPr>
          <w:rFonts w:hint="eastAsia"/>
          <w:color w:val="000000" w:themeColor="text1"/>
          <w:lang w:eastAsia="zh-CN"/>
          <w14:textFill>
            <w14:solidFill>
              <w14:schemeClr w14:val="tx1"/>
            </w14:solidFill>
          </w14:textFill>
        </w:rPr>
        <w:t>十</w:t>
      </w:r>
      <w:r>
        <w:rPr>
          <w:color w:val="000000" w:themeColor="text1"/>
          <w:lang w:eastAsia="zh-CN"/>
          <w14:textFill>
            <w14:solidFill>
              <w14:schemeClr w14:val="tx1"/>
            </w14:solidFill>
          </w14:textFill>
        </w:rPr>
        <w:t>条</w:t>
      </w:r>
      <w:r>
        <w:rPr>
          <w:lang w:eastAsia="zh-CN"/>
        </w:rPr>
        <w:t>规定的</w:t>
      </w:r>
      <w:r>
        <w:rPr>
          <w:rFonts w:hint="eastAsia"/>
          <w:lang w:eastAsia="zh-CN"/>
        </w:rPr>
        <w:t>搬迁</w:t>
      </w:r>
      <w:r>
        <w:rPr>
          <w:lang w:eastAsia="zh-CN"/>
        </w:rPr>
        <w:t>房屋</w:t>
      </w:r>
      <w:r>
        <w:rPr>
          <w:spacing w:val="-115"/>
          <w:lang w:eastAsia="zh-CN"/>
        </w:rPr>
        <w:t>，</w:t>
      </w:r>
      <w:r>
        <w:rPr>
          <w:lang w:eastAsia="zh-CN"/>
        </w:rPr>
        <w:t>其重置价按认定的合法建筑面积和现状的房屋结构结合成新</w:t>
      </w:r>
      <w:r>
        <w:rPr>
          <w:rFonts w:hint="eastAsia"/>
          <w:lang w:eastAsia="zh-CN"/>
        </w:rPr>
        <w:t>率</w:t>
      </w:r>
      <w:r>
        <w:rPr>
          <w:lang w:eastAsia="zh-CN"/>
        </w:rPr>
        <w:t>计算。</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val="en-US" w:eastAsia="zh-CN"/>
        </w:rPr>
        <w:t>十八</w:t>
      </w:r>
      <w:r>
        <w:rPr>
          <w:rFonts w:ascii="黑体" w:hAnsi="黑体" w:eastAsia="黑体" w:cs="黑体"/>
          <w:b/>
          <w:bCs/>
          <w:lang w:eastAsia="zh-CN"/>
        </w:rPr>
        <w:t>条</w:t>
      </w:r>
      <w:r>
        <w:rPr>
          <w:rFonts w:hint="eastAsia" w:ascii="黑体" w:hAnsi="黑体" w:eastAsia="黑体" w:cs="黑体"/>
          <w:b/>
          <w:bCs/>
          <w:lang w:val="en-US" w:eastAsia="zh-CN"/>
        </w:rPr>
        <w:t xml:space="preserve"> </w:t>
      </w:r>
      <w:r>
        <w:rPr>
          <w:rFonts w:hint="eastAsia" w:ascii="黑体" w:hAnsi="黑体" w:eastAsia="黑体" w:cs="黑体"/>
          <w:lang w:eastAsia="zh-CN"/>
        </w:rPr>
        <w:t xml:space="preserve"> </w:t>
      </w:r>
      <w:r>
        <w:rPr>
          <w:lang w:eastAsia="zh-CN"/>
        </w:rPr>
        <w:t>房地产价格评估机构应当由被</w:t>
      </w:r>
      <w:r>
        <w:rPr>
          <w:rFonts w:hint="eastAsia"/>
          <w:lang w:eastAsia="zh-CN"/>
        </w:rPr>
        <w:t>搬迁</w:t>
      </w:r>
      <w:r>
        <w:rPr>
          <w:lang w:eastAsia="zh-CN"/>
        </w:rPr>
        <w:t>人协商选定；在规定时间内协商不成的</w:t>
      </w:r>
      <w:r>
        <w:rPr>
          <w:spacing w:val="-115"/>
          <w:lang w:eastAsia="zh-CN"/>
        </w:rPr>
        <w:t>，</w:t>
      </w:r>
      <w:r>
        <w:rPr>
          <w:lang w:eastAsia="zh-CN"/>
        </w:rPr>
        <w:t>由</w:t>
      </w:r>
      <w:r>
        <w:rPr>
          <w:rFonts w:hint="eastAsia"/>
          <w:lang w:eastAsia="zh-CN"/>
        </w:rPr>
        <w:t>实施单位</w:t>
      </w:r>
      <w:r>
        <w:rPr>
          <w:lang w:eastAsia="zh-CN"/>
        </w:rPr>
        <w:t>组织被</w:t>
      </w:r>
      <w:r>
        <w:rPr>
          <w:rFonts w:hint="eastAsia"/>
          <w:lang w:eastAsia="zh-CN"/>
        </w:rPr>
        <w:t>搬迁</w:t>
      </w:r>
      <w:r>
        <w:rPr>
          <w:lang w:eastAsia="zh-CN"/>
        </w:rPr>
        <w:t>人按照少数服</w:t>
      </w:r>
      <w:r>
        <w:rPr>
          <w:spacing w:val="7"/>
          <w:lang w:eastAsia="zh-CN"/>
        </w:rPr>
        <w:t>从多数的原则投票确定或</w:t>
      </w:r>
      <w:r>
        <w:rPr>
          <w:lang w:eastAsia="zh-CN"/>
        </w:rPr>
        <w:t>从</w:t>
      </w:r>
      <w:r>
        <w:rPr>
          <w:rFonts w:hint="eastAsia"/>
          <w:lang w:eastAsia="zh-CN"/>
        </w:rPr>
        <w:t>公开</w:t>
      </w:r>
      <w:r>
        <w:rPr>
          <w:lang w:eastAsia="zh-CN"/>
        </w:rPr>
        <w:t>报名的具备相应资质的房地产价格评估机构中采取摇号、抽签等方式随机确定。</w:t>
      </w:r>
    </w:p>
    <w:p>
      <w:pPr>
        <w:pStyle w:val="3"/>
        <w:snapToGrid w:val="0"/>
        <w:spacing w:before="100" w:beforeAutospacing="1" w:after="100" w:afterAutospacing="1" w:line="560" w:lineRule="exact"/>
        <w:ind w:left="0" w:firstLine="668" w:firstLineChars="200"/>
        <w:contextualSpacing/>
        <w:jc w:val="both"/>
        <w:rPr>
          <w:lang w:eastAsia="zh-CN"/>
        </w:rPr>
      </w:pPr>
      <w:r>
        <w:rPr>
          <w:spacing w:val="7"/>
          <w:lang w:eastAsia="zh-CN"/>
        </w:rPr>
        <w:t>参加投票确定或随机确定的候选房地产价格评估机构不得</w:t>
      </w:r>
      <w:r>
        <w:rPr>
          <w:lang w:eastAsia="zh-CN"/>
        </w:rPr>
        <w:t>少于</w:t>
      </w:r>
      <w:r>
        <w:rPr>
          <w:rFonts w:cs="仿宋_GB2312"/>
          <w:lang w:eastAsia="zh-CN"/>
        </w:rPr>
        <w:t>3</w:t>
      </w:r>
      <w:r>
        <w:rPr>
          <w:lang w:eastAsia="zh-CN"/>
        </w:rPr>
        <w:t>家</w:t>
      </w:r>
      <w:r>
        <w:rPr>
          <w:spacing w:val="-160"/>
          <w:lang w:eastAsia="zh-CN"/>
        </w:rPr>
        <w:t>。</w:t>
      </w:r>
      <w:r>
        <w:rPr>
          <w:rFonts w:hint="eastAsia"/>
          <w:lang w:eastAsia="zh-CN"/>
        </w:rPr>
        <w:t>实施单位</w:t>
      </w:r>
      <w:r>
        <w:rPr>
          <w:lang w:eastAsia="zh-CN"/>
        </w:rPr>
        <w:t>应当提前</w:t>
      </w:r>
      <w:r>
        <w:rPr>
          <w:rFonts w:cs="仿宋_GB2312"/>
          <w:lang w:eastAsia="zh-CN"/>
        </w:rPr>
        <w:t>3</w:t>
      </w:r>
      <w:r>
        <w:rPr>
          <w:lang w:eastAsia="zh-CN"/>
        </w:rPr>
        <w:t>个工作日在</w:t>
      </w:r>
      <w:r>
        <w:rPr>
          <w:rFonts w:hint="eastAsia"/>
          <w:lang w:eastAsia="zh-CN"/>
        </w:rPr>
        <w:t>建设征地</w:t>
      </w:r>
      <w:r>
        <w:rPr>
          <w:lang w:eastAsia="zh-CN"/>
        </w:rPr>
        <w:t>范围内予以公告，</w:t>
      </w:r>
      <w:r>
        <w:rPr>
          <w:spacing w:val="7"/>
          <w:lang w:eastAsia="zh-CN"/>
        </w:rPr>
        <w:t>公告应当载明参与投票确定或随机确定的房地产价格评估机构</w:t>
      </w:r>
      <w:r>
        <w:rPr>
          <w:lang w:eastAsia="zh-CN"/>
        </w:rPr>
        <w:t>的名称、开展投票确定或随机确定的时间和地点等事项。</w:t>
      </w:r>
    </w:p>
    <w:p>
      <w:pPr>
        <w:pStyle w:val="3"/>
        <w:snapToGrid w:val="0"/>
        <w:spacing w:before="100" w:beforeAutospacing="1" w:after="100" w:afterAutospacing="1" w:line="560" w:lineRule="exact"/>
        <w:ind w:left="0" w:firstLineChars="200"/>
        <w:contextualSpacing/>
        <w:jc w:val="both"/>
        <w:rPr>
          <w:lang w:eastAsia="zh-CN"/>
        </w:rPr>
      </w:pPr>
      <w:r>
        <w:rPr>
          <w:lang w:eastAsia="zh-CN"/>
        </w:rPr>
        <w:t>投票确定或者随机确定房地产价格评估机构应当由公证机构现场公证，并邀请被</w:t>
      </w:r>
      <w:r>
        <w:rPr>
          <w:rFonts w:hint="eastAsia"/>
          <w:lang w:eastAsia="zh-CN"/>
        </w:rPr>
        <w:t>搬迁</w:t>
      </w:r>
      <w:r>
        <w:rPr>
          <w:lang w:eastAsia="zh-CN"/>
        </w:rPr>
        <w:t>人代表</w:t>
      </w:r>
      <w:r>
        <w:rPr>
          <w:rFonts w:hint="eastAsia"/>
          <w:lang w:eastAsia="zh-CN"/>
        </w:rPr>
        <w:t>和涉及搬迁</w:t>
      </w:r>
      <w:r>
        <w:rPr>
          <w:lang w:eastAsia="zh-CN"/>
        </w:rPr>
        <w:t>房屋</w:t>
      </w:r>
      <w:r>
        <w:rPr>
          <w:rFonts w:hint="eastAsia"/>
          <w:lang w:eastAsia="zh-CN"/>
        </w:rPr>
        <w:t>的乡镇（街道）、</w:t>
      </w:r>
      <w:r>
        <w:rPr>
          <w:lang w:eastAsia="zh-CN"/>
        </w:rPr>
        <w:t>村（居）委会代表等参加。任何单位和个人不得干预评估、鉴定活动。与当事人有利害关系的，应当回避。</w:t>
      </w:r>
    </w:p>
    <w:p>
      <w:pPr>
        <w:pStyle w:val="3"/>
        <w:snapToGrid w:val="0"/>
        <w:spacing w:before="100" w:beforeAutospacing="1" w:after="100" w:afterAutospacing="1" w:line="560" w:lineRule="exact"/>
        <w:ind w:left="0" w:firstLine="640" w:firstLineChars="200"/>
        <w:contextualSpacing/>
        <w:jc w:val="both"/>
        <w:rPr>
          <w:lang w:eastAsia="zh-CN"/>
        </w:rPr>
      </w:pPr>
      <w:r>
        <w:rPr>
          <w:rFonts w:hint="eastAsia" w:ascii="黑体" w:hAnsi="黑体" w:eastAsia="黑体" w:cs="黑体"/>
          <w:lang w:eastAsia="zh-CN"/>
        </w:rPr>
        <w:t xml:space="preserve"> </w:t>
      </w:r>
      <w:r>
        <w:rPr>
          <w:rFonts w:ascii="黑体" w:hAnsi="黑体" w:eastAsia="黑体" w:cs="黑体"/>
          <w:b/>
          <w:bCs/>
          <w:lang w:eastAsia="zh-CN"/>
        </w:rPr>
        <w:t>第十</w:t>
      </w:r>
      <w:r>
        <w:rPr>
          <w:rFonts w:hint="eastAsia" w:ascii="黑体" w:hAnsi="黑体" w:eastAsia="黑体" w:cs="黑体"/>
          <w:b/>
          <w:bCs/>
          <w:lang w:val="en-US" w:eastAsia="zh-CN"/>
        </w:rPr>
        <w:t>九</w:t>
      </w:r>
      <w:r>
        <w:rPr>
          <w:rFonts w:ascii="黑体" w:hAnsi="黑体" w:eastAsia="黑体" w:cs="黑体"/>
          <w:b/>
          <w:bCs/>
          <w:lang w:eastAsia="zh-CN"/>
        </w:rPr>
        <w:t>条</w:t>
      </w:r>
      <w:r>
        <w:rPr>
          <w:rFonts w:hint="eastAsia" w:ascii="黑体" w:hAnsi="黑体" w:eastAsia="黑体" w:cs="黑体"/>
          <w:lang w:eastAsia="zh-CN"/>
        </w:rPr>
        <w:t xml:space="preserve"> </w:t>
      </w:r>
      <w:r>
        <w:rPr>
          <w:lang w:eastAsia="zh-CN"/>
        </w:rPr>
        <w:t>被</w:t>
      </w:r>
      <w:r>
        <w:rPr>
          <w:rFonts w:hint="eastAsia"/>
          <w:lang w:eastAsia="zh-CN"/>
        </w:rPr>
        <w:t>搬迁</w:t>
      </w:r>
      <w:r>
        <w:rPr>
          <w:lang w:eastAsia="zh-CN"/>
        </w:rPr>
        <w:t>人或</w:t>
      </w:r>
      <w:r>
        <w:rPr>
          <w:rFonts w:hint="eastAsia"/>
          <w:lang w:eastAsia="zh-CN"/>
        </w:rPr>
        <w:t>实施单位</w:t>
      </w:r>
      <w:r>
        <w:rPr>
          <w:lang w:eastAsia="zh-CN"/>
        </w:rPr>
        <w:t>对评估确定的被</w:t>
      </w:r>
      <w:r>
        <w:rPr>
          <w:rFonts w:hint="eastAsia"/>
          <w:lang w:eastAsia="zh-CN"/>
        </w:rPr>
        <w:t>搬迁</w:t>
      </w:r>
      <w:r>
        <w:rPr>
          <w:lang w:eastAsia="zh-CN"/>
        </w:rPr>
        <w:t>房屋价值有异议的，应当自收到评估报告之日起</w:t>
      </w:r>
      <w:r>
        <w:rPr>
          <w:rFonts w:cs="仿宋_GB2312"/>
          <w:lang w:eastAsia="zh-CN"/>
        </w:rPr>
        <w:t>10</w:t>
      </w:r>
      <w:r>
        <w:rPr>
          <w:lang w:eastAsia="zh-CN"/>
        </w:rPr>
        <w:t>日内，向出具评估报告的房地产价格评估机构书面申请复核评估</w:t>
      </w:r>
      <w:r>
        <w:rPr>
          <w:spacing w:val="-115"/>
          <w:lang w:eastAsia="zh-CN"/>
        </w:rPr>
        <w:t>。</w:t>
      </w:r>
      <w:r>
        <w:rPr>
          <w:lang w:eastAsia="zh-CN"/>
        </w:rPr>
        <w:t>对复核结果有异议的，应当自收到复核结果之日起</w:t>
      </w:r>
      <w:r>
        <w:rPr>
          <w:rFonts w:cs="仿宋_GB2312"/>
          <w:lang w:eastAsia="zh-CN"/>
        </w:rPr>
        <w:t>10</w:t>
      </w:r>
      <w:r>
        <w:rPr>
          <w:lang w:eastAsia="zh-CN"/>
        </w:rPr>
        <w:t>日内，向房地产价格评估专家委员会申请鉴定。</w:t>
      </w:r>
    </w:p>
    <w:p>
      <w:pPr>
        <w:pStyle w:val="3"/>
        <w:tabs>
          <w:tab w:val="left" w:pos="0"/>
        </w:tabs>
        <w:adjustRightInd w:val="0"/>
        <w:snapToGrid w:val="0"/>
        <w:spacing w:before="240" w:beforeLines="100" w:after="240" w:afterLines="100" w:line="560" w:lineRule="exact"/>
        <w:ind w:left="0" w:firstLine="0"/>
        <w:contextualSpacing/>
        <w:jc w:val="center"/>
        <w:outlineLvl w:val="0"/>
        <w:rPr>
          <w:rFonts w:hint="eastAsia" w:ascii="黑体" w:hAnsi="黑体" w:eastAsia="黑体" w:cs="黑体"/>
          <w:lang w:eastAsia="zh-CN"/>
        </w:rPr>
      </w:pPr>
    </w:p>
    <w:p>
      <w:pPr>
        <w:pStyle w:val="2"/>
        <w:jc w:val="center"/>
        <w:rPr>
          <w:rFonts w:hint="eastAsia" w:ascii="黑体" w:hAnsi="黑体" w:eastAsia="黑体" w:cs="黑体"/>
          <w:sz w:val="32"/>
          <w:szCs w:val="32"/>
          <w:highlight w:val="none"/>
          <w:u w:val="none"/>
          <w:lang w:val="en-US" w:eastAsia="zh-CN" w:bidi="ar-SA"/>
        </w:rPr>
      </w:pPr>
      <w:r>
        <w:rPr>
          <w:rFonts w:hint="eastAsia" w:ascii="黑体" w:hAnsi="黑体" w:eastAsia="黑体" w:cs="黑体"/>
          <w:sz w:val="32"/>
          <w:szCs w:val="32"/>
          <w:highlight w:val="none"/>
          <w:u w:val="none"/>
          <w:lang w:val="en-US" w:eastAsia="zh-CN" w:bidi="ar-SA"/>
        </w:rPr>
        <w:t>第六章  合法房屋产权搬迁安置</w:t>
      </w:r>
    </w:p>
    <w:p>
      <w:pPr>
        <w:pStyle w:val="3"/>
        <w:snapToGrid w:val="0"/>
        <w:spacing w:before="100" w:beforeAutospacing="1" w:after="100" w:afterAutospacing="1" w:line="560" w:lineRule="exact"/>
        <w:ind w:left="0" w:firstLine="643" w:firstLineChars="200"/>
        <w:contextualSpacing/>
        <w:jc w:val="both"/>
        <w:rPr>
          <w:rFonts w:hint="eastAsia"/>
          <w:lang w:eastAsia="zh-CN"/>
        </w:rPr>
      </w:pPr>
      <w:r>
        <w:rPr>
          <w:rFonts w:ascii="黑体" w:hAnsi="黑体" w:eastAsia="黑体" w:cs="黑体"/>
          <w:b/>
          <w:bCs/>
          <w:lang w:eastAsia="zh-CN"/>
        </w:rPr>
        <w:t>第</w:t>
      </w:r>
      <w:r>
        <w:rPr>
          <w:rFonts w:hint="eastAsia" w:ascii="黑体" w:hAnsi="黑体" w:eastAsia="黑体" w:cs="黑体"/>
          <w:b/>
          <w:bCs/>
          <w:lang w:eastAsia="zh-CN"/>
        </w:rPr>
        <w:t>二十</w:t>
      </w:r>
      <w:r>
        <w:rPr>
          <w:rFonts w:ascii="黑体" w:hAnsi="黑体" w:eastAsia="黑体" w:cs="黑体"/>
          <w:b/>
          <w:bCs/>
          <w:lang w:eastAsia="zh-CN"/>
        </w:rPr>
        <w:t>条</w:t>
      </w:r>
      <w:r>
        <w:rPr>
          <w:rFonts w:hint="eastAsia" w:ascii="黑体" w:hAnsi="黑体" w:eastAsia="黑体" w:cs="黑体"/>
          <w:lang w:eastAsia="zh-CN"/>
        </w:rPr>
        <w:t xml:space="preserve"> </w:t>
      </w:r>
      <w:r>
        <w:rPr>
          <w:rFonts w:hint="eastAsia" w:ascii="黑体" w:hAnsi="黑体" w:eastAsia="黑体" w:cs="黑体"/>
          <w:lang w:val="en-US" w:eastAsia="zh-CN"/>
        </w:rPr>
        <w:t xml:space="preserve"> </w:t>
      </w:r>
      <w:r>
        <w:rPr>
          <w:rFonts w:hint="eastAsia" w:cs="仿宋_GB2312"/>
          <w:color w:val="000000"/>
          <w:u w:color="000000"/>
          <w:lang w:eastAsia="zh-CN"/>
        </w:rPr>
        <w:t>在搬迁范围内拥有合法房屋的人口，被搬</w:t>
      </w:r>
      <w:r>
        <w:rPr>
          <w:rFonts w:hint="eastAsia"/>
          <w:lang w:eastAsia="zh-CN"/>
        </w:rPr>
        <w:t>迁</w:t>
      </w:r>
      <w:r>
        <w:rPr>
          <w:rFonts w:cs="仿宋_GB2312"/>
          <w:color w:val="000000"/>
          <w:u w:color="000000"/>
          <w:lang w:eastAsia="zh-CN"/>
        </w:rPr>
        <w:t>房屋实行</w:t>
      </w:r>
      <w:r>
        <w:rPr>
          <w:rFonts w:hint="eastAsia" w:cs="仿宋_GB2312"/>
          <w:color w:val="000000"/>
          <w:u w:color="000000"/>
          <w:lang w:eastAsia="zh-CN"/>
        </w:rPr>
        <w:t>产权安置、货币补偿安置、产权安置与货币补偿安置相结合等方式。被</w:t>
      </w:r>
      <w:r>
        <w:rPr>
          <w:rFonts w:hint="eastAsia"/>
          <w:lang w:eastAsia="zh-CN"/>
        </w:rPr>
        <w:t>搬迁</w:t>
      </w:r>
      <w:r>
        <w:rPr>
          <w:rFonts w:hint="eastAsia" w:cs="仿宋_GB2312"/>
          <w:color w:val="000000"/>
          <w:u w:color="000000"/>
          <w:lang w:eastAsia="zh-CN"/>
        </w:rPr>
        <w:t>人可选择其中1种方式安置。各</w:t>
      </w:r>
      <w:r>
        <w:rPr>
          <w:rFonts w:cs="仿宋_GB2312"/>
          <w:color w:val="000000" w:themeColor="text1"/>
          <w:u w:color="000000"/>
          <w:lang w:eastAsia="zh-CN"/>
          <w14:textFill>
            <w14:solidFill>
              <w14:schemeClr w14:val="tx1"/>
            </w14:solidFill>
          </w14:textFill>
        </w:rPr>
        <w:t>村集体经济组织成员</w:t>
      </w:r>
      <w:r>
        <w:rPr>
          <w:rFonts w:hint="eastAsia" w:cs="仿宋_GB2312"/>
          <w:kern w:val="2"/>
          <w:lang w:eastAsia="zh-CN"/>
        </w:rPr>
        <w:t>已按本安置方案实行补偿安置的，不再享受农村“一户一宅”的宅基地审批政策规定。</w:t>
      </w:r>
    </w:p>
    <w:p>
      <w:pPr>
        <w:pStyle w:val="3"/>
        <w:snapToGrid w:val="0"/>
        <w:spacing w:before="100" w:beforeAutospacing="1" w:after="100" w:afterAutospacing="1" w:line="560" w:lineRule="exact"/>
        <w:ind w:left="0" w:firstLineChars="200"/>
        <w:contextualSpacing/>
        <w:jc w:val="both"/>
        <w:rPr>
          <w:rFonts w:hint="eastAsia"/>
          <w:lang w:eastAsia="zh-CN"/>
        </w:rPr>
      </w:pPr>
      <w:r>
        <w:rPr>
          <w:rFonts w:hint="eastAsia" w:ascii="黑体" w:hAnsi="黑体" w:eastAsia="黑体" w:cs="黑体"/>
          <w:b/>
          <w:bCs/>
          <w:spacing w:val="7"/>
          <w:lang w:eastAsia="zh-CN"/>
        </w:rPr>
        <w:t>第二十</w:t>
      </w:r>
      <w:r>
        <w:rPr>
          <w:rFonts w:hint="eastAsia" w:ascii="黑体" w:hAnsi="黑体" w:eastAsia="黑体" w:cs="黑体"/>
          <w:b/>
          <w:bCs/>
          <w:spacing w:val="7"/>
          <w:lang w:val="en-US" w:eastAsia="zh-CN"/>
        </w:rPr>
        <w:t>一</w:t>
      </w:r>
      <w:r>
        <w:rPr>
          <w:rFonts w:hint="eastAsia" w:ascii="黑体" w:hAnsi="黑体" w:eastAsia="黑体" w:cs="黑体"/>
          <w:b/>
          <w:bCs/>
          <w:spacing w:val="7"/>
          <w:lang w:eastAsia="zh-CN"/>
        </w:rPr>
        <w:t>条</w:t>
      </w:r>
      <w:r>
        <w:rPr>
          <w:rFonts w:hint="eastAsia" w:cs="仿宋_GB2312"/>
          <w:color w:val="000000" w:themeColor="text1"/>
          <w:u w:color="000000"/>
          <w:lang w:val="en-US" w:eastAsia="zh-CN"/>
          <w14:textFill>
            <w14:solidFill>
              <w14:schemeClr w14:val="tx1"/>
            </w14:solidFill>
          </w14:textFill>
        </w:rPr>
        <w:t xml:space="preserve">  </w:t>
      </w:r>
      <w:r>
        <w:rPr>
          <w:rFonts w:hint="eastAsia"/>
          <w:lang w:val="en-US" w:eastAsia="zh-CN"/>
        </w:rPr>
        <w:t>在搬迁范围内，被搬迁人</w:t>
      </w:r>
      <w:r>
        <w:rPr>
          <w:rFonts w:hint="eastAsia"/>
          <w:lang w:eastAsia="zh-CN"/>
        </w:rPr>
        <w:t>可选择产权安置、货币补偿安置及产权安置与货币补偿安置相结合。搬迁安置方式参照移民搬迁安置规定执行。选择产权安置的应</w:t>
      </w:r>
      <w:r>
        <w:rPr>
          <w:rFonts w:hint="eastAsia"/>
          <w:lang w:val="en-US" w:eastAsia="zh-CN"/>
        </w:rPr>
        <w:t>安置面积和自然增购面积，</w:t>
      </w:r>
      <w:r>
        <w:rPr>
          <w:rFonts w:hint="eastAsia"/>
          <w:lang w:eastAsia="zh-CN"/>
        </w:rPr>
        <w:t>按以下规定办理：</w:t>
      </w:r>
    </w:p>
    <w:p>
      <w:pPr>
        <w:pStyle w:val="3"/>
        <w:snapToGrid w:val="0"/>
        <w:spacing w:before="100" w:beforeAutospacing="1" w:after="100" w:afterAutospacing="1" w:line="560" w:lineRule="exact"/>
        <w:ind w:left="0" w:firstLineChars="200"/>
        <w:contextualSpacing/>
        <w:jc w:val="both"/>
        <w:rPr>
          <w:lang w:eastAsia="zh-CN"/>
        </w:rPr>
      </w:pPr>
      <w:r>
        <w:rPr>
          <w:rFonts w:hint="eastAsia"/>
          <w:lang w:eastAsia="zh-CN"/>
        </w:rPr>
        <w:t>（一）</w:t>
      </w:r>
      <w:r>
        <w:rPr>
          <w:lang w:eastAsia="zh-CN"/>
        </w:rPr>
        <w:t>被</w:t>
      </w:r>
      <w:r>
        <w:rPr>
          <w:rFonts w:hint="eastAsia"/>
          <w:lang w:eastAsia="zh-CN"/>
        </w:rPr>
        <w:t>搬迁</w:t>
      </w:r>
      <w:r>
        <w:rPr>
          <w:lang w:eastAsia="zh-CN"/>
        </w:rPr>
        <w:t>房屋为单间通天式住宅</w:t>
      </w:r>
      <w:r>
        <w:rPr>
          <w:spacing w:val="-58"/>
          <w:lang w:eastAsia="zh-CN"/>
        </w:rPr>
        <w:t>，</w:t>
      </w:r>
      <w:r>
        <w:rPr>
          <w:lang w:eastAsia="zh-CN"/>
        </w:rPr>
        <w:t>则按合法房屋建筑基底面积的</w:t>
      </w:r>
      <w:r>
        <w:rPr>
          <w:rFonts w:cs="仿宋_GB2312"/>
          <w:lang w:eastAsia="zh-CN"/>
        </w:rPr>
        <w:t>3</w:t>
      </w:r>
      <w:r>
        <w:rPr>
          <w:lang w:eastAsia="zh-CN"/>
        </w:rPr>
        <w:t>倍确定应安置面积</w:t>
      </w:r>
      <w:r>
        <w:rPr>
          <w:spacing w:val="-115"/>
          <w:lang w:eastAsia="zh-CN"/>
        </w:rPr>
        <w:t>，</w:t>
      </w:r>
      <w:r>
        <w:rPr>
          <w:lang w:eastAsia="zh-CN"/>
        </w:rPr>
        <w:t>如安置面积小于原合法房屋建筑面积的，则按原合法房屋的建筑面积</w:t>
      </w:r>
      <w:r>
        <w:rPr>
          <w:rFonts w:hint="eastAsia" w:cs="仿宋_GB2312"/>
          <w:color w:val="000000"/>
          <w:u w:color="000000"/>
          <w:lang w:eastAsia="zh-CN"/>
        </w:rPr>
        <w:t>1:1</w:t>
      </w:r>
      <w:r>
        <w:rPr>
          <w:lang w:eastAsia="zh-CN"/>
        </w:rPr>
        <w:t>确定应安置面</w:t>
      </w:r>
      <w:r>
        <w:rPr>
          <w:spacing w:val="-58"/>
          <w:lang w:eastAsia="zh-CN"/>
        </w:rPr>
        <w:t>积</w:t>
      </w:r>
      <w:r>
        <w:rPr>
          <w:lang w:eastAsia="zh-CN"/>
        </w:rPr>
        <w:t>。</w:t>
      </w:r>
    </w:p>
    <w:p>
      <w:pPr>
        <w:pStyle w:val="3"/>
        <w:snapToGrid w:val="0"/>
        <w:spacing w:before="100" w:beforeAutospacing="1" w:after="100" w:afterAutospacing="1" w:line="560" w:lineRule="exact"/>
        <w:ind w:left="0" w:firstLineChars="200"/>
        <w:contextualSpacing/>
        <w:jc w:val="both"/>
        <w:rPr>
          <w:rFonts w:hint="eastAsia"/>
          <w:lang w:val="en-US" w:eastAsia="zh-CN"/>
        </w:rPr>
      </w:pPr>
      <w:r>
        <w:rPr>
          <w:rFonts w:hint="eastAsia"/>
          <w:lang w:eastAsia="zh-CN"/>
        </w:rPr>
        <w:t>（二）</w:t>
      </w:r>
      <w:r>
        <w:rPr>
          <w:rFonts w:hint="eastAsia"/>
          <w:lang w:val="en-US" w:eastAsia="zh-CN"/>
        </w:rPr>
        <w:t>同一间单间通天式搬迁房屋局部层数不一致的，经认定视为合法房屋建筑面积的，按实际层数分开计算计入应安置面积。</w:t>
      </w:r>
    </w:p>
    <w:p>
      <w:pPr>
        <w:pStyle w:val="3"/>
        <w:snapToGrid w:val="0"/>
        <w:spacing w:before="100" w:beforeAutospacing="1" w:after="100" w:afterAutospacing="1" w:line="560" w:lineRule="exact"/>
        <w:ind w:left="0" w:firstLineChars="200"/>
        <w:contextualSpacing/>
        <w:jc w:val="both"/>
        <w:rPr>
          <w:rFonts w:hint="eastAsia"/>
          <w:lang w:val="en-US" w:eastAsia="zh-CN"/>
        </w:rPr>
      </w:pPr>
      <w:r>
        <w:rPr>
          <w:rFonts w:hint="eastAsia"/>
          <w:lang w:eastAsia="zh-CN"/>
        </w:rPr>
        <w:t>（三）</w:t>
      </w:r>
      <w:r>
        <w:rPr>
          <w:rFonts w:hint="eastAsia"/>
          <w:lang w:val="en-US" w:eastAsia="zh-CN"/>
        </w:rPr>
        <w:t>本工程范围内被搬迁人有多处独立产权的房屋，应合并一户计算总安置面积，涉及一宅多户共有产权的，应按一户计算应安置面积。</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eastAsia="zh-CN"/>
        </w:rPr>
        <w:t>（</w:t>
      </w:r>
      <w:r>
        <w:rPr>
          <w:rFonts w:hint="eastAsia"/>
          <w:lang w:val="en-US" w:eastAsia="zh-CN"/>
        </w:rPr>
        <w:t>四</w:t>
      </w:r>
      <w:r>
        <w:rPr>
          <w:rFonts w:hint="eastAsia"/>
          <w:lang w:eastAsia="zh-CN"/>
        </w:rPr>
        <w:t>）经认定视为合法住宅建筑面积的，计入应安置面积。</w:t>
      </w:r>
    </w:p>
    <w:p>
      <w:pPr>
        <w:pStyle w:val="3"/>
        <w:spacing w:before="100" w:beforeAutospacing="1" w:after="100" w:afterAutospacing="1" w:line="560" w:lineRule="exact"/>
        <w:ind w:left="0" w:firstLineChars="200"/>
        <w:contextualSpacing/>
        <w:jc w:val="both"/>
        <w:rPr>
          <w:rFonts w:hint="eastAsia"/>
          <w:lang w:eastAsia="zh-CN"/>
        </w:rPr>
      </w:pPr>
      <w:r>
        <w:rPr>
          <w:rFonts w:hint="eastAsia"/>
          <w:lang w:val="en-US" w:eastAsia="zh-CN"/>
        </w:rPr>
        <w:t>（五）</w:t>
      </w:r>
      <w:r>
        <w:rPr>
          <w:rFonts w:hint="eastAsia"/>
          <w:strike w:val="0"/>
          <w:dstrike w:val="0"/>
          <w:lang w:val="en-US" w:eastAsia="zh-CN"/>
        </w:rPr>
        <w:t>被搬迁人</w:t>
      </w:r>
      <w:r>
        <w:rPr>
          <w:rFonts w:hint="eastAsia"/>
          <w:lang w:eastAsia="zh-CN"/>
        </w:rPr>
        <w:t>选择</w:t>
      </w:r>
      <w:r>
        <w:rPr>
          <w:lang w:eastAsia="zh-CN"/>
        </w:rPr>
        <w:t>产权安置的</w:t>
      </w:r>
      <w:r>
        <w:rPr>
          <w:spacing w:val="-115"/>
          <w:lang w:eastAsia="zh-CN"/>
        </w:rPr>
        <w:t>，</w:t>
      </w:r>
      <w:r>
        <w:rPr>
          <w:lang w:eastAsia="zh-CN"/>
        </w:rPr>
        <w:t>按实施单位提供的拟设计套型就近选择套型</w:t>
      </w:r>
      <w:r>
        <w:rPr>
          <w:spacing w:val="-115"/>
          <w:lang w:eastAsia="zh-CN"/>
        </w:rPr>
        <w:t>，</w:t>
      </w:r>
      <w:r>
        <w:rPr>
          <w:lang w:eastAsia="zh-CN"/>
        </w:rPr>
        <w:t>其选择的安置房总面积原则控制在被</w:t>
      </w:r>
      <w:r>
        <w:rPr>
          <w:rFonts w:hint="eastAsia"/>
          <w:lang w:eastAsia="zh-CN"/>
        </w:rPr>
        <w:t>搬迁</w:t>
      </w:r>
      <w:r>
        <w:rPr>
          <w:lang w:eastAsia="zh-CN"/>
        </w:rPr>
        <w:t>房屋的总安置面积</w:t>
      </w:r>
      <w:r>
        <w:rPr>
          <w:rFonts w:hint="eastAsia"/>
          <w:lang w:eastAsia="zh-CN"/>
        </w:rPr>
        <w:t>（含人均补足面积）</w:t>
      </w:r>
      <w:r>
        <w:rPr>
          <w:lang w:eastAsia="zh-CN"/>
        </w:rPr>
        <w:t>范围内，</w:t>
      </w:r>
      <w:r>
        <w:rPr>
          <w:rFonts w:hint="eastAsia"/>
          <w:lang w:eastAsia="zh-CN"/>
        </w:rPr>
        <w:t>确因</w:t>
      </w:r>
      <w:r>
        <w:rPr>
          <w:lang w:eastAsia="zh-CN"/>
        </w:rPr>
        <w:t>安置房设计原因，被</w:t>
      </w:r>
      <w:r>
        <w:rPr>
          <w:rFonts w:hint="eastAsia"/>
          <w:lang w:eastAsia="zh-CN"/>
        </w:rPr>
        <w:t>搬迁</w:t>
      </w:r>
      <w:r>
        <w:rPr>
          <w:lang w:eastAsia="zh-CN"/>
        </w:rPr>
        <w:t>人选择的安置房套型</w:t>
      </w:r>
      <w:r>
        <w:rPr>
          <w:rFonts w:hint="eastAsia"/>
          <w:lang w:eastAsia="zh-CN"/>
        </w:rPr>
        <w:t>大于总安置面积</w:t>
      </w:r>
      <w:r>
        <w:rPr>
          <w:lang w:eastAsia="zh-CN"/>
        </w:rPr>
        <w:t>10平方米</w:t>
      </w:r>
      <w:r>
        <w:rPr>
          <w:rFonts w:hint="eastAsia"/>
          <w:lang w:eastAsia="zh-CN"/>
        </w:rPr>
        <w:t>以内</w:t>
      </w:r>
      <w:r>
        <w:rPr>
          <w:lang w:eastAsia="zh-CN"/>
        </w:rPr>
        <w:t>的自然增购</w:t>
      </w:r>
      <w:r>
        <w:rPr>
          <w:rFonts w:hint="eastAsia"/>
          <w:lang w:eastAsia="zh-CN"/>
        </w:rPr>
        <w:t>面积，按</w:t>
      </w:r>
      <w:r>
        <w:rPr>
          <w:lang w:eastAsia="zh-CN"/>
        </w:rPr>
        <w:t>综合成本价</w:t>
      </w:r>
      <w:r>
        <w:rPr>
          <w:rFonts w:hint="eastAsia"/>
          <w:lang w:eastAsia="zh-CN"/>
        </w:rPr>
        <w:t>计算，但每户只能享受一</w:t>
      </w:r>
      <w:r>
        <w:rPr>
          <w:lang w:eastAsia="zh-CN"/>
        </w:rPr>
        <w:t>套安置房自然增购</w:t>
      </w:r>
      <w:r>
        <w:rPr>
          <w:rFonts w:hint="eastAsia"/>
          <w:lang w:eastAsia="zh-CN"/>
        </w:rPr>
        <w:t>面积，超出</w:t>
      </w:r>
      <w:r>
        <w:rPr>
          <w:lang w:eastAsia="zh-CN"/>
        </w:rPr>
        <w:t>10平方米</w:t>
      </w:r>
      <w:r>
        <w:rPr>
          <w:rFonts w:hint="eastAsia"/>
          <w:lang w:eastAsia="zh-CN"/>
        </w:rPr>
        <w:t>的，</w:t>
      </w:r>
      <w:r>
        <w:rPr>
          <w:lang w:eastAsia="zh-CN"/>
        </w:rPr>
        <w:t>按市场评估价</w:t>
      </w:r>
      <w:r>
        <w:rPr>
          <w:rFonts w:hint="eastAsia"/>
          <w:lang w:eastAsia="zh-CN"/>
        </w:rPr>
        <w:t>计算；</w:t>
      </w:r>
      <w:r>
        <w:rPr>
          <w:lang w:eastAsia="zh-CN"/>
        </w:rPr>
        <w:t>被</w:t>
      </w:r>
      <w:r>
        <w:rPr>
          <w:rFonts w:hint="eastAsia"/>
          <w:lang w:eastAsia="zh-CN"/>
        </w:rPr>
        <w:t>搬迁</w:t>
      </w:r>
      <w:r>
        <w:rPr>
          <w:lang w:eastAsia="zh-CN"/>
        </w:rPr>
        <w:t>人选择的安置房套型少</w:t>
      </w:r>
      <w:r>
        <w:rPr>
          <w:rFonts w:hint="eastAsia"/>
          <w:lang w:eastAsia="zh-CN"/>
        </w:rPr>
        <w:t>于总安置面积（不含人均补足面积）的，其剩余部分安置面积按市场评估均价结算差价。</w:t>
      </w:r>
    </w:p>
    <w:p>
      <w:pPr>
        <w:pStyle w:val="3"/>
        <w:spacing w:before="100" w:beforeAutospacing="1" w:after="100" w:afterAutospacing="1" w:line="560" w:lineRule="exact"/>
        <w:ind w:left="0" w:firstLineChars="200"/>
        <w:contextualSpacing/>
        <w:jc w:val="both"/>
        <w:rPr>
          <w:rFonts w:hint="eastAsia"/>
          <w:u w:val="single"/>
          <w:lang w:val="en-US" w:eastAsia="zh-CN"/>
        </w:rPr>
      </w:pPr>
      <w:r>
        <w:rPr>
          <w:rFonts w:hint="eastAsia" w:ascii="黑体" w:hAnsi="黑体" w:eastAsia="黑体" w:cs="黑体"/>
          <w:b/>
          <w:bCs/>
          <w:spacing w:val="7"/>
          <w:lang w:eastAsia="zh-CN"/>
        </w:rPr>
        <w:t>第二十</w:t>
      </w:r>
      <w:r>
        <w:rPr>
          <w:rFonts w:hint="eastAsia" w:ascii="黑体" w:hAnsi="黑体" w:eastAsia="黑体" w:cs="黑体"/>
          <w:b/>
          <w:bCs/>
          <w:spacing w:val="7"/>
          <w:lang w:val="en-US" w:eastAsia="zh-CN"/>
        </w:rPr>
        <w:t>二</w:t>
      </w:r>
      <w:r>
        <w:rPr>
          <w:rFonts w:hint="eastAsia" w:ascii="黑体" w:hAnsi="黑体" w:eastAsia="黑体" w:cs="黑体"/>
          <w:b/>
          <w:bCs/>
          <w:spacing w:val="7"/>
          <w:lang w:eastAsia="zh-CN"/>
        </w:rPr>
        <w:t>条</w:t>
      </w:r>
      <w:r>
        <w:rPr>
          <w:rFonts w:hint="eastAsia" w:cs="仿宋_GB2312"/>
          <w:color w:val="000000" w:themeColor="text1"/>
          <w:u w:color="000000"/>
          <w:lang w:val="en-US" w:eastAsia="zh-CN"/>
          <w14:textFill>
            <w14:solidFill>
              <w14:schemeClr w14:val="tx1"/>
            </w14:solidFill>
          </w14:textFill>
        </w:rPr>
        <w:t xml:space="preserve">  </w:t>
      </w:r>
      <w:r>
        <w:rPr>
          <w:rFonts w:hint="eastAsia" w:cs="仿宋_GB2312"/>
          <w:color w:val="000000" w:themeColor="text1"/>
          <w:highlight w:val="none"/>
          <w:u w:color="000000"/>
          <w:lang w:val="en-US" w:eastAsia="zh-CN"/>
          <w14:textFill>
            <w14:solidFill>
              <w14:schemeClr w14:val="tx1"/>
            </w14:solidFill>
          </w14:textFill>
        </w:rPr>
        <w:t xml:space="preserve"> </w:t>
      </w:r>
      <w:r>
        <w:rPr>
          <w:rFonts w:hint="eastAsia"/>
          <w:highlight w:val="none"/>
          <w:u w:val="none"/>
          <w:lang w:val="en-US" w:eastAsia="zh-CN"/>
        </w:rPr>
        <w:t>合法房屋产权搬迁安置补助奖励</w:t>
      </w:r>
    </w:p>
    <w:p>
      <w:pPr>
        <w:pStyle w:val="3"/>
        <w:snapToGrid w:val="0"/>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被搬迁人在规定时间内签订安置协议的，并按期办理相关手续的，经验收合格的，予以以下奖励，逾期不予奖励。具体标准如下执行：</w:t>
      </w:r>
    </w:p>
    <w:p>
      <w:pPr>
        <w:pStyle w:val="3"/>
        <w:snapToGrid w:val="0"/>
        <w:spacing w:before="100" w:beforeAutospacing="1" w:after="100" w:afterAutospacing="1" w:line="560" w:lineRule="exact"/>
        <w:ind w:left="0" w:firstLine="640" w:firstLineChars="200"/>
        <w:contextualSpacing/>
        <w:jc w:val="both"/>
        <w:rPr>
          <w:rFonts w:hint="eastAsia"/>
          <w:lang w:val="en-US" w:eastAsia="zh-CN"/>
        </w:rPr>
      </w:pPr>
      <w:r>
        <w:rPr>
          <w:rFonts w:hint="eastAsia"/>
          <w:lang w:val="en-US" w:eastAsia="zh-CN"/>
        </w:rPr>
        <w:t>（一）签订协议奖</w:t>
      </w:r>
    </w:p>
    <w:p>
      <w:pPr>
        <w:pStyle w:val="3"/>
        <w:snapToGrid w:val="0"/>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被搬迁人在规定时间内签订安置协议的，并且完成房屋腾空及实物处理的，经验收合格，按应安置面积给予 2000 元/平方米的奖励。</w:t>
      </w:r>
    </w:p>
    <w:p>
      <w:pPr>
        <w:pStyle w:val="3"/>
        <w:snapToGrid w:val="0"/>
        <w:spacing w:before="100" w:beforeAutospacing="1" w:after="100" w:afterAutospacing="1" w:line="560" w:lineRule="exact"/>
        <w:ind w:left="0" w:firstLine="640" w:firstLineChars="200"/>
        <w:contextualSpacing/>
        <w:jc w:val="both"/>
        <w:rPr>
          <w:rFonts w:hint="eastAsia"/>
          <w:highlight w:val="none"/>
          <w:lang w:val="en-US" w:eastAsia="zh-CN"/>
        </w:rPr>
      </w:pPr>
      <w:r>
        <w:rPr>
          <w:rFonts w:hint="eastAsia"/>
          <w:highlight w:val="none"/>
          <w:lang w:val="en-US" w:eastAsia="zh-CN"/>
        </w:rPr>
        <w:t>（二）车位奖励</w:t>
      </w:r>
    </w:p>
    <w:p>
      <w:pPr>
        <w:pStyle w:val="3"/>
        <w:snapToGrid w:val="0"/>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每套安置房最多只能认购1个地下车位；车位价格暂定10万元/个，认购确定后车位最终价格根据车位具体区位、大小等因素增减确定。被搬迁人在规定期限内签订协议、腾空房屋，并按期缴纳安置房购款的，给予按规定购置的车位3万元/个的奖励。</w:t>
      </w:r>
    </w:p>
    <w:p>
      <w:pPr>
        <w:pStyle w:val="3"/>
        <w:snapToGrid w:val="0"/>
        <w:spacing w:before="100" w:beforeAutospacing="1" w:after="100" w:afterAutospacing="1" w:line="560" w:lineRule="exact"/>
        <w:ind w:left="0" w:firstLineChars="200"/>
        <w:contextualSpacing/>
        <w:jc w:val="both"/>
        <w:rPr>
          <w:rFonts w:hint="default"/>
          <w:spacing w:val="1"/>
          <w:lang w:val="en-US" w:eastAsia="zh-CN"/>
        </w:rPr>
      </w:pPr>
      <w:r>
        <w:rPr>
          <w:rFonts w:hint="eastAsia"/>
          <w:strike w:val="0"/>
          <w:dstrike w:val="0"/>
          <w:u w:val="none"/>
          <w:lang w:val="en-US" w:eastAsia="zh-CN"/>
        </w:rPr>
        <w:t>（</w:t>
      </w:r>
      <w:r>
        <w:rPr>
          <w:rFonts w:hint="eastAsia"/>
          <w:spacing w:val="1"/>
          <w:u w:val="none"/>
          <w:lang w:eastAsia="zh-CN"/>
        </w:rPr>
        <w:t>三）</w:t>
      </w:r>
      <w:r>
        <w:rPr>
          <w:rFonts w:hint="eastAsia"/>
          <w:spacing w:val="1"/>
          <w:lang w:val="en-US" w:eastAsia="zh-CN"/>
        </w:rPr>
        <w:t>增购面积奖励</w:t>
      </w:r>
    </w:p>
    <w:p>
      <w:pPr>
        <w:pStyle w:val="3"/>
        <w:spacing w:before="100" w:beforeAutospacing="1" w:after="100" w:afterAutospacing="1" w:line="560" w:lineRule="exact"/>
        <w:ind w:left="0" w:firstLineChars="200"/>
        <w:contextualSpacing/>
        <w:jc w:val="both"/>
      </w:pPr>
      <w:r>
        <w:rPr>
          <w:rFonts w:hint="eastAsia"/>
          <w:lang w:val="en-US" w:eastAsia="zh-CN"/>
        </w:rPr>
        <w:t>被搬迁房屋在规定的时间内自愿签订安置补偿协议等经验收合格的，给予增购面积，具体如下：被搬迁房屋为单间通天式，合法建筑为一层的，给予建筑基底面积0.9倍的增购；合法建筑为二层的，给予建筑基底面积1.15倍的增购；合法建筑为三层的，给予建筑基底面积1.5倍的增购。合法建筑为四层的，给予原合法建筑面积25%的增购。在《停建通告》公布后，因分家析产以及离婚等原因，导致人均安置面积低于30平方米的，不予补足。</w:t>
      </w:r>
    </w:p>
    <w:p>
      <w:pPr>
        <w:pStyle w:val="3"/>
        <w:spacing w:before="100" w:beforeAutospacing="1" w:after="100" w:afterAutospacing="1" w:line="560" w:lineRule="exact"/>
        <w:ind w:left="0" w:firstLineChars="200"/>
        <w:contextualSpacing/>
        <w:jc w:val="both"/>
        <w:rPr>
          <w:rFonts w:hint="default" w:cs="仿宋_GB2312"/>
          <w:color w:val="000000" w:themeColor="text1"/>
          <w:highlight w:val="none"/>
          <w:u w:color="000000"/>
          <w:lang w:val="en-US" w:eastAsia="zh-CN"/>
          <w14:textFill>
            <w14:solidFill>
              <w14:schemeClr w14:val="tx1"/>
            </w14:solidFill>
          </w14:textFill>
        </w:rPr>
      </w:pPr>
      <w:r>
        <w:rPr>
          <w:rFonts w:hint="eastAsia" w:ascii="黑体" w:hAnsi="黑体" w:eastAsia="黑体" w:cs="黑体"/>
          <w:b/>
          <w:bCs/>
          <w:spacing w:val="7"/>
          <w:lang w:eastAsia="zh-CN"/>
        </w:rPr>
        <w:t>第二十</w:t>
      </w:r>
      <w:r>
        <w:rPr>
          <w:rFonts w:hint="eastAsia" w:ascii="黑体" w:hAnsi="黑体" w:eastAsia="黑体" w:cs="黑体"/>
          <w:b/>
          <w:bCs/>
          <w:spacing w:val="7"/>
          <w:lang w:val="en-US" w:eastAsia="zh-CN"/>
        </w:rPr>
        <w:t>三</w:t>
      </w:r>
      <w:r>
        <w:rPr>
          <w:rFonts w:hint="eastAsia" w:ascii="黑体" w:hAnsi="黑体" w:eastAsia="黑体" w:cs="黑体"/>
          <w:b/>
          <w:bCs/>
          <w:spacing w:val="7"/>
          <w:lang w:eastAsia="zh-CN"/>
        </w:rPr>
        <w:t>条</w:t>
      </w:r>
      <w:r>
        <w:rPr>
          <w:rFonts w:hint="eastAsia" w:ascii="黑体" w:hAnsi="黑体" w:eastAsia="黑体" w:cs="黑体"/>
          <w:b/>
          <w:bCs/>
          <w:spacing w:val="7"/>
          <w:lang w:val="en-US" w:eastAsia="zh-CN"/>
        </w:rPr>
        <w:t xml:space="preserve">   </w:t>
      </w:r>
      <w:r>
        <w:rPr>
          <w:rFonts w:hint="eastAsia" w:cs="仿宋_GB2312"/>
          <w:color w:val="000000" w:themeColor="text1"/>
          <w:highlight w:val="none"/>
          <w:u w:color="000000"/>
          <w:lang w:val="en-US" w:eastAsia="zh-CN"/>
          <w14:textFill>
            <w14:solidFill>
              <w14:schemeClr w14:val="tx1"/>
            </w14:solidFill>
          </w14:textFill>
        </w:rPr>
        <w:t>合法房屋临时安置和搬迁补助标准</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一）住宅用房每月15元/平方米，每户每月不得低于800元（含奖励），计算时间为被征地房屋腾空验收合格之日起到安置房交付后6个月。实施单位超过36个月未提供安置用房的，自逾期之月起，按照30元/月·平方米支付临时安置费。</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（二）选择货币补偿（包括购买政府提供的现房安置房）的其临时安置费按本条第（一）项补偿标准统一结算6个月。</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（三）选择期房安置房的，实施单位在被征地房屋搬迁腾空验收合格之日起10日内先支付被搬迁人12个月临时安置费，其中选择货币补偿的临时安置费按6个月计算 ；剩余临时安置费每年度结算一次，交付安置用房后的6个月临时安置费由实施单位在交付安置用房时支付给被搬迁人，交付安置用房后的6个月临时安置费不享受翻倍政策。</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四）被搬迁人就其被征地房屋选择货币补偿与产权安置相结合的，根据被征收合法房屋的总建筑面积按相应比例分摊到货币补偿面积和产权安置面积。其中货币补偿面积部分的临时安置费按6个月计算；产权安置面积部分的临时安置费结合本条规定计算。</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五）实施单位提供周转用房的，周转用房应当保障被搬迁人的基本生活居住条件，面积不足部分由实施单位支付临时安置费。实施单位超过36个月未提供安置用房的，除继续提供周转房外，应自逾期之月起按照原合法房屋面积（含视同合法面积）以15元/月·平方米支付临时安置费至安置房交付之日止；被搬迁人应当在安置房通知交付之日起6个月内腾退周转用房。</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（六）住宅房屋被搬迁人选择产权安置的，或货币补偿与产权安置相结合的，家庭中有重病者或年满70周岁成员等特殊情况造成租房困难的，给予优先安排临时周转用房。</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（七）搬迁补助</w:t>
      </w:r>
    </w:p>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被搬迁人选择货币补偿安置的，其搬迁补助费计算一次，选择产权安置或选择部分产权安置的, 搬迁补助费均按原合法建筑面积等额计算二次，实施单位按以下标准支付被搬迁人搬迁补助费：</w:t>
      </w:r>
    </w:p>
    <w:tbl>
      <w:tblPr>
        <w:tblStyle w:val="21"/>
        <w:tblW w:w="9000" w:type="dxa"/>
        <w:tblInd w:w="104" w:type="dxa"/>
        <w:tblLayout w:type="fixed"/>
        <w:tblCellMar>
          <w:top w:w="0" w:type="dxa"/>
          <w:left w:w="0" w:type="dxa"/>
          <w:bottom w:w="0" w:type="dxa"/>
          <w:right w:w="0" w:type="dxa"/>
        </w:tblCellMar>
      </w:tblPr>
      <w:tblGrid>
        <w:gridCol w:w="7020"/>
        <w:gridCol w:w="1980"/>
      </w:tblGrid>
      <w:tr>
        <w:tblPrEx>
          <w:tblCellMar>
            <w:top w:w="0" w:type="dxa"/>
            <w:left w:w="0" w:type="dxa"/>
            <w:bottom w:w="0" w:type="dxa"/>
            <w:right w:w="0" w:type="dxa"/>
          </w:tblCellMar>
        </w:tblPrEx>
        <w:trPr>
          <w:trHeight w:val="632" w:hRule="exact"/>
        </w:trPr>
        <w:tc>
          <w:tcPr>
            <w:tcW w:w="702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合法住宅（或商业）房屋建筑面积</w:t>
            </w:r>
          </w:p>
        </w:tc>
        <w:tc>
          <w:tcPr>
            <w:tcW w:w="1980" w:type="dxa"/>
            <w:tcBorders>
              <w:top w:val="single" w:color="000000" w:sz="4" w:space="0"/>
              <w:left w:val="single" w:color="000000" w:sz="4" w:space="0"/>
              <w:bottom w:val="single" w:color="000000" w:sz="4" w:space="0"/>
              <w:right w:val="single" w:color="000000" w:sz="4" w:space="0"/>
            </w:tcBorders>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搬迁补助费</w:t>
            </w:r>
          </w:p>
        </w:tc>
      </w:tr>
      <w:tr>
        <w:tblPrEx>
          <w:tblCellMar>
            <w:top w:w="0" w:type="dxa"/>
            <w:left w:w="0" w:type="dxa"/>
            <w:bottom w:w="0" w:type="dxa"/>
            <w:right w:w="0" w:type="dxa"/>
          </w:tblCellMar>
        </w:tblPrEx>
        <w:trPr>
          <w:trHeight w:val="632" w:hRule="exact"/>
        </w:trPr>
        <w:tc>
          <w:tcPr>
            <w:tcW w:w="702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100平方米以下（含）</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1000元</w:t>
            </w:r>
          </w:p>
        </w:tc>
      </w:tr>
      <w:tr>
        <w:tblPrEx>
          <w:tblCellMar>
            <w:top w:w="0" w:type="dxa"/>
            <w:left w:w="0" w:type="dxa"/>
            <w:bottom w:w="0" w:type="dxa"/>
            <w:right w:w="0" w:type="dxa"/>
          </w:tblCellMar>
        </w:tblPrEx>
        <w:trPr>
          <w:trHeight w:val="632" w:hRule="exact"/>
        </w:trPr>
        <w:tc>
          <w:tcPr>
            <w:tcW w:w="702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100平方米以上、300平方米以下（含）</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1200元</w:t>
            </w:r>
          </w:p>
        </w:tc>
      </w:tr>
      <w:tr>
        <w:tblPrEx>
          <w:tblCellMar>
            <w:top w:w="0" w:type="dxa"/>
            <w:left w:w="0" w:type="dxa"/>
            <w:bottom w:w="0" w:type="dxa"/>
            <w:right w:w="0" w:type="dxa"/>
          </w:tblCellMar>
        </w:tblPrEx>
        <w:trPr>
          <w:trHeight w:val="632" w:hRule="exact"/>
        </w:trPr>
        <w:tc>
          <w:tcPr>
            <w:tcW w:w="702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300平方米以上、500平方米以下（含）</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1500元</w:t>
            </w:r>
          </w:p>
        </w:tc>
      </w:tr>
      <w:tr>
        <w:tblPrEx>
          <w:tblCellMar>
            <w:top w:w="0" w:type="dxa"/>
            <w:left w:w="0" w:type="dxa"/>
            <w:bottom w:w="0" w:type="dxa"/>
            <w:right w:w="0" w:type="dxa"/>
          </w:tblCellMar>
        </w:tblPrEx>
        <w:trPr>
          <w:trHeight w:val="632" w:hRule="exact"/>
        </w:trPr>
        <w:tc>
          <w:tcPr>
            <w:tcW w:w="702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500平方米以上</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3"/>
              <w:spacing w:before="100" w:beforeAutospacing="1" w:after="100" w:afterAutospacing="1" w:line="560" w:lineRule="exact"/>
              <w:ind w:left="0" w:firstLineChars="200"/>
              <w:contextualSpacing/>
              <w:jc w:val="both"/>
              <w:rPr>
                <w:rFonts w:hint="eastAsia"/>
                <w:lang w:val="en-US" w:eastAsia="zh-CN"/>
              </w:rPr>
            </w:pPr>
            <w:r>
              <w:rPr>
                <w:rFonts w:hint="eastAsia"/>
                <w:lang w:val="en-US" w:eastAsia="zh-CN"/>
              </w:rPr>
              <w:t>1800元</w:t>
            </w:r>
          </w:p>
        </w:tc>
      </w:tr>
    </w:tbl>
    <w:p>
      <w:pPr>
        <w:pStyle w:val="3"/>
        <w:numPr>
          <w:ilvl w:val="255"/>
          <w:numId w:val="0"/>
        </w:numPr>
        <w:snapToGrid w:val="0"/>
        <w:spacing w:before="100" w:beforeAutospacing="1" w:after="100" w:afterAutospacing="1" w:line="560" w:lineRule="exact"/>
        <w:ind w:firstLine="671" w:firstLineChars="200"/>
        <w:contextualSpacing/>
        <w:jc w:val="both"/>
        <w:rPr>
          <w:rFonts w:hint="eastAsia"/>
          <w:highlight w:val="none"/>
          <w:u w:val="none" w:color="auto"/>
          <w:lang w:val="en-US" w:eastAsia="zh-CN"/>
        </w:rPr>
      </w:pPr>
      <w:r>
        <w:rPr>
          <w:rFonts w:hint="eastAsia" w:ascii="黑体" w:hAnsi="黑体" w:eastAsia="黑体" w:cs="黑体"/>
          <w:b/>
          <w:bCs/>
          <w:spacing w:val="7"/>
          <w:highlight w:val="none"/>
          <w:u w:val="none" w:color="auto"/>
          <w:lang w:eastAsia="zh-CN"/>
        </w:rPr>
        <w:t>第二十</w:t>
      </w:r>
      <w:r>
        <w:rPr>
          <w:rFonts w:hint="eastAsia" w:ascii="黑体" w:hAnsi="黑体" w:eastAsia="黑体" w:cs="黑体"/>
          <w:b/>
          <w:bCs/>
          <w:spacing w:val="7"/>
          <w:highlight w:val="none"/>
          <w:u w:val="none" w:color="auto"/>
          <w:lang w:val="en-US" w:eastAsia="zh-CN"/>
        </w:rPr>
        <w:t>四</w:t>
      </w:r>
      <w:r>
        <w:rPr>
          <w:rFonts w:hint="eastAsia" w:ascii="黑体" w:hAnsi="黑体" w:eastAsia="黑体" w:cs="黑体"/>
          <w:b/>
          <w:bCs/>
          <w:spacing w:val="7"/>
          <w:highlight w:val="none"/>
          <w:u w:val="none" w:color="auto"/>
          <w:lang w:eastAsia="zh-CN"/>
        </w:rPr>
        <w:t>条</w:t>
      </w:r>
      <w:r>
        <w:rPr>
          <w:rFonts w:hint="eastAsia" w:cs="仿宋_GB2312"/>
          <w:color w:val="000000" w:themeColor="text1"/>
          <w:highlight w:val="none"/>
          <w:u w:val="none" w:color="auto"/>
          <w:lang w:val="en-US" w:eastAsia="zh-CN"/>
          <w14:textFill>
            <w14:solidFill>
              <w14:schemeClr w14:val="tx1"/>
            </w14:solidFill>
          </w14:textFill>
        </w:rPr>
        <w:t xml:space="preserve"> 合法房屋产权人</w:t>
      </w:r>
      <w:r>
        <w:rPr>
          <w:rFonts w:hint="eastAsia"/>
          <w:highlight w:val="none"/>
          <w:u w:val="none" w:color="auto"/>
          <w:lang w:val="en-US" w:eastAsia="zh-CN"/>
        </w:rPr>
        <w:t>总安置房应支付价款</w:t>
      </w:r>
    </w:p>
    <w:p>
      <w:pPr>
        <w:pStyle w:val="3"/>
        <w:snapToGrid w:val="0"/>
        <w:spacing w:before="100" w:beforeAutospacing="1" w:after="100" w:afterAutospacing="1" w:line="560" w:lineRule="exact"/>
        <w:ind w:left="0" w:firstLine="640" w:firstLineChars="200"/>
        <w:contextualSpacing/>
        <w:jc w:val="both"/>
        <w:rPr>
          <w:rFonts w:hint="eastAsia"/>
          <w:highlight w:val="none"/>
          <w:u w:val="none" w:color="auto"/>
          <w:lang w:val="en-US" w:eastAsia="zh-CN"/>
        </w:rPr>
      </w:pPr>
      <w:r>
        <w:rPr>
          <w:rFonts w:hint="eastAsia"/>
          <w:highlight w:val="none"/>
          <w:u w:val="none" w:color="auto"/>
          <w:lang w:val="en-US" w:eastAsia="zh-CN"/>
        </w:rPr>
        <w:t>搬迁人口安置房应支付的价款=（应安置面积+人均补足面积）×综合成本价+增购面积×增购价-各项奖励-原合法房屋建筑面积×原房屋重置价（折旧后）-房屋装修补偿-其他附属物的补偿。</w:t>
      </w:r>
    </w:p>
    <w:p>
      <w:pPr>
        <w:pStyle w:val="2"/>
        <w:rPr>
          <w:rFonts w:hint="eastAsia"/>
          <w:lang w:val="en-US"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r>
        <w:rPr>
          <w:rFonts w:ascii="黑体" w:hAnsi="黑体" w:eastAsia="黑体" w:cs="黑体"/>
          <w:lang w:eastAsia="zh-CN"/>
        </w:rPr>
        <w:t>第</w:t>
      </w:r>
      <w:r>
        <w:rPr>
          <w:rFonts w:hint="eastAsia" w:ascii="黑体" w:hAnsi="黑体" w:eastAsia="黑体" w:cs="黑体"/>
          <w:lang w:eastAsia="zh-CN"/>
        </w:rPr>
        <w:t>七</w:t>
      </w:r>
      <w:r>
        <w:rPr>
          <w:rFonts w:ascii="黑体" w:hAnsi="黑体" w:eastAsia="黑体" w:cs="黑体"/>
          <w:lang w:eastAsia="zh-CN"/>
        </w:rPr>
        <w:t>章</w:t>
      </w:r>
      <w:r>
        <w:rPr>
          <w:rFonts w:hint="eastAsia" w:ascii="黑体" w:hAnsi="黑体" w:eastAsia="黑体" w:cs="黑体"/>
          <w:lang w:eastAsia="zh-CN"/>
        </w:rPr>
        <w:t xml:space="preserve"> </w:t>
      </w:r>
      <w:r>
        <w:rPr>
          <w:rFonts w:ascii="黑体" w:hAnsi="黑体" w:eastAsia="黑体" w:cs="黑体"/>
          <w:lang w:eastAsia="zh-CN"/>
        </w:rPr>
        <w:t>安置房认购程序</w:t>
      </w:r>
    </w:p>
    <w:p>
      <w:pPr>
        <w:pStyle w:val="2"/>
        <w:rPr>
          <w:lang w:eastAsia="zh-CN"/>
        </w:rPr>
      </w:pP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eastAsia="zh-CN"/>
        </w:rPr>
        <w:t>二十</w:t>
      </w:r>
      <w:r>
        <w:rPr>
          <w:rFonts w:hint="eastAsia" w:ascii="黑体" w:hAnsi="黑体" w:eastAsia="黑体" w:cs="黑体"/>
          <w:b/>
          <w:bCs/>
          <w:lang w:val="en-US" w:eastAsia="zh-CN"/>
        </w:rPr>
        <w:t>五</w:t>
      </w:r>
      <w:r>
        <w:rPr>
          <w:rFonts w:ascii="黑体" w:hAnsi="黑体" w:eastAsia="黑体" w:cs="黑体"/>
          <w:b/>
          <w:bCs/>
          <w:lang w:eastAsia="zh-CN"/>
        </w:rPr>
        <w:t>条</w:t>
      </w:r>
      <w:r>
        <w:rPr>
          <w:rFonts w:hint="eastAsia" w:ascii="黑体" w:hAnsi="黑体" w:eastAsia="黑体" w:cs="黑体"/>
          <w:spacing w:val="1"/>
          <w:lang w:eastAsia="zh-CN"/>
        </w:rPr>
        <w:t xml:space="preserve"> </w:t>
      </w:r>
      <w:r>
        <w:rPr>
          <w:rFonts w:hint="eastAsia"/>
          <w:lang w:eastAsia="zh-CN"/>
        </w:rPr>
        <w:t>安置用房认购实行“房屋早腾空、安置房早缴款先认购”的原则。被搬迁人签订《补偿安置协议书》后，被搬迁人按规定期限搬迁腾空房屋经验收合格，并且按规定期限缴纳安置房购房款的，实施单位发安置房认购《“并列第一”顺序号》；如被搬迁人未按规定搬迁腾空房屋或未按期缴纳购房款的，取消第一批认购资格，按照实际搬迁腾空先后和缴纳安置房购款时间发给安置房认购顺序号，逾期6个月未缴清购房款的，实施单位有权解除合同并处置该被搬迁人的安置房。选择产权安置的被搬迁人其各项补偿款直接冲抵安置房购房款。</w:t>
      </w:r>
      <w:r>
        <w:rPr>
          <w:rFonts w:hint="eastAsia"/>
          <w:color w:val="FF0000"/>
          <w:lang w:eastAsia="zh-CN"/>
        </w:rPr>
        <w:t xml:space="preserve"> </w:t>
      </w:r>
    </w:p>
    <w:p>
      <w:pPr>
        <w:pStyle w:val="3"/>
        <w:snapToGrid w:val="0"/>
        <w:spacing w:before="100" w:beforeAutospacing="1" w:after="100" w:afterAutospacing="1" w:line="560" w:lineRule="exact"/>
        <w:ind w:left="0" w:firstLine="643" w:firstLineChars="200"/>
        <w:contextualSpacing/>
        <w:jc w:val="both"/>
        <w:rPr>
          <w:rFonts w:hint="eastAsia"/>
          <w:lang w:eastAsia="zh-CN"/>
        </w:rPr>
      </w:pPr>
      <w:r>
        <w:rPr>
          <w:rFonts w:ascii="黑体" w:hAnsi="黑体" w:eastAsia="黑体" w:cs="黑体"/>
          <w:b/>
          <w:bCs/>
          <w:lang w:eastAsia="zh-CN"/>
        </w:rPr>
        <w:t>第</w:t>
      </w:r>
      <w:r>
        <w:rPr>
          <w:rFonts w:hint="eastAsia" w:ascii="黑体" w:hAnsi="黑体" w:eastAsia="黑体" w:cs="黑体"/>
          <w:b/>
          <w:bCs/>
          <w:lang w:eastAsia="zh-CN"/>
        </w:rPr>
        <w:t>二十</w:t>
      </w:r>
      <w:r>
        <w:rPr>
          <w:rFonts w:hint="eastAsia" w:ascii="黑体" w:hAnsi="黑体" w:eastAsia="黑体" w:cs="黑体"/>
          <w:b/>
          <w:bCs/>
          <w:lang w:val="en-US" w:eastAsia="zh-CN"/>
        </w:rPr>
        <w:t>六</w:t>
      </w:r>
      <w:r>
        <w:rPr>
          <w:rFonts w:ascii="黑体" w:hAnsi="黑体" w:eastAsia="黑体" w:cs="黑体"/>
          <w:b/>
          <w:bCs/>
          <w:lang w:eastAsia="zh-CN"/>
        </w:rPr>
        <w:t>条</w:t>
      </w:r>
      <w:r>
        <w:rPr>
          <w:lang w:eastAsia="zh-CN"/>
        </w:rPr>
        <w:t xml:space="preserve"> </w:t>
      </w:r>
      <w:r>
        <w:rPr>
          <w:rFonts w:hint="eastAsia"/>
          <w:lang w:eastAsia="zh-CN"/>
        </w:rPr>
        <w:t>安置房购房款按如下规定分期缴纳：</w:t>
      </w:r>
    </w:p>
    <w:p>
      <w:pPr>
        <w:pStyle w:val="3"/>
        <w:snapToGrid w:val="0"/>
        <w:spacing w:before="100" w:beforeAutospacing="1" w:after="100" w:afterAutospacing="1" w:line="560" w:lineRule="exact"/>
        <w:ind w:left="0" w:firstLine="640" w:firstLineChars="200"/>
        <w:contextualSpacing/>
        <w:jc w:val="both"/>
        <w:rPr>
          <w:rFonts w:hint="eastAsia"/>
          <w:lang w:eastAsia="zh-CN"/>
        </w:rPr>
      </w:pPr>
      <w:r>
        <w:rPr>
          <w:rFonts w:hint="eastAsia"/>
          <w:lang w:eastAsia="zh-CN"/>
        </w:rPr>
        <w:t>第一期：安置房开工后20天内预缴至购房款总额的（各项补偿款可冲抵总额、下同）30%；</w:t>
      </w:r>
    </w:p>
    <w:p>
      <w:pPr>
        <w:pStyle w:val="3"/>
        <w:snapToGrid w:val="0"/>
        <w:spacing w:before="100" w:beforeAutospacing="1" w:after="100" w:afterAutospacing="1" w:line="560" w:lineRule="exact"/>
        <w:ind w:left="0" w:firstLine="688" w:firstLineChars="200"/>
        <w:contextualSpacing/>
        <w:jc w:val="both"/>
        <w:rPr>
          <w:lang w:eastAsia="zh-CN"/>
        </w:rPr>
      </w:pPr>
      <w:r>
        <w:rPr>
          <w:spacing w:val="12"/>
          <w:lang w:eastAsia="zh-CN"/>
        </w:rPr>
        <w:t>第二期</w:t>
      </w:r>
      <w:r>
        <w:rPr>
          <w:rFonts w:hint="eastAsia"/>
          <w:spacing w:val="12"/>
          <w:lang w:eastAsia="zh-CN"/>
        </w:rPr>
        <w:t>：</w:t>
      </w:r>
      <w:r>
        <w:rPr>
          <w:spacing w:val="12"/>
          <w:lang w:eastAsia="zh-CN"/>
        </w:rPr>
        <w:t>安置房主体施工至</w:t>
      </w:r>
      <w:r>
        <w:rPr>
          <w:rFonts w:cs="仿宋_GB2312"/>
          <w:spacing w:val="12"/>
          <w:lang w:eastAsia="zh-CN"/>
        </w:rPr>
        <w:t>±0.00</w:t>
      </w:r>
      <w:r>
        <w:rPr>
          <w:spacing w:val="14"/>
          <w:lang w:eastAsia="zh-CN"/>
        </w:rPr>
        <w:t>时缴至购房款总额的</w:t>
      </w:r>
      <w:r>
        <w:rPr>
          <w:rFonts w:cs="仿宋_GB2312"/>
          <w:lang w:eastAsia="zh-CN"/>
        </w:rPr>
        <w:t>60%</w:t>
      </w:r>
      <w:r>
        <w:rPr>
          <w:lang w:eastAsia="zh-CN"/>
        </w:rPr>
        <w:t>；</w:t>
      </w:r>
    </w:p>
    <w:p>
      <w:pPr>
        <w:pStyle w:val="3"/>
        <w:snapToGrid w:val="0"/>
        <w:spacing w:before="100" w:beforeAutospacing="1" w:after="100" w:afterAutospacing="1" w:line="560" w:lineRule="exact"/>
        <w:ind w:left="0" w:firstLineChars="200"/>
        <w:contextualSpacing/>
        <w:jc w:val="both"/>
        <w:rPr>
          <w:lang w:eastAsia="zh-CN"/>
        </w:rPr>
      </w:pPr>
      <w:r>
        <w:rPr>
          <w:lang w:eastAsia="zh-CN"/>
        </w:rPr>
        <w:t>第三期</w:t>
      </w:r>
      <w:r>
        <w:rPr>
          <w:spacing w:val="12"/>
          <w:lang w:eastAsia="zh-CN"/>
        </w:rPr>
        <w:t>：</w:t>
      </w:r>
      <w:r>
        <w:rPr>
          <w:lang w:eastAsia="zh-CN"/>
        </w:rPr>
        <w:t>安置房主体工程结顶时缴至购房款总额的</w:t>
      </w:r>
      <w:r>
        <w:rPr>
          <w:rFonts w:cs="仿宋_GB2312"/>
          <w:lang w:eastAsia="zh-CN"/>
        </w:rPr>
        <w:t>90%</w:t>
      </w:r>
      <w:r>
        <w:rPr>
          <w:lang w:eastAsia="zh-CN"/>
        </w:rPr>
        <w:t>；</w:t>
      </w:r>
    </w:p>
    <w:p>
      <w:pPr>
        <w:pStyle w:val="3"/>
        <w:snapToGrid w:val="0"/>
        <w:spacing w:before="100" w:beforeAutospacing="1" w:after="100" w:afterAutospacing="1" w:line="560" w:lineRule="exact"/>
        <w:ind w:left="0" w:firstLineChars="200"/>
        <w:contextualSpacing/>
        <w:jc w:val="both"/>
        <w:rPr>
          <w:lang w:eastAsia="zh-CN"/>
        </w:rPr>
      </w:pPr>
      <w:r>
        <w:rPr>
          <w:lang w:eastAsia="zh-CN"/>
        </w:rPr>
        <w:t>第四</w:t>
      </w:r>
      <w:r>
        <w:rPr>
          <w:spacing w:val="-80"/>
          <w:lang w:eastAsia="zh-CN"/>
        </w:rPr>
        <w:t>期</w:t>
      </w:r>
      <w:r>
        <w:rPr>
          <w:rFonts w:hint="eastAsia"/>
          <w:spacing w:val="-80"/>
          <w:lang w:eastAsia="zh-CN"/>
        </w:rPr>
        <w:t>：</w:t>
      </w:r>
      <w:r>
        <w:rPr>
          <w:lang w:eastAsia="zh-CN"/>
        </w:rPr>
        <w:t>安置房交付前凭缴款通知和结算单结清实际差价款，领取住宅安置用房调配单，办理安置房交接手续。</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val="en-US" w:eastAsia="zh-CN"/>
        </w:rPr>
        <w:t>二十七</w:t>
      </w:r>
      <w:r>
        <w:rPr>
          <w:rFonts w:ascii="黑体" w:hAnsi="黑体" w:eastAsia="黑体" w:cs="黑体"/>
          <w:b/>
          <w:bCs/>
          <w:lang w:eastAsia="zh-CN"/>
        </w:rPr>
        <w:t>条</w:t>
      </w:r>
      <w:r>
        <w:rPr>
          <w:rFonts w:hint="eastAsia" w:ascii="黑体" w:hAnsi="黑体" w:eastAsia="黑体" w:cs="黑体"/>
          <w:lang w:eastAsia="zh-CN"/>
        </w:rPr>
        <w:t xml:space="preserve"> </w:t>
      </w:r>
      <w:r>
        <w:rPr>
          <w:lang w:eastAsia="zh-CN"/>
        </w:rPr>
        <w:t>安置房认购工作由实施单位组织，邀请公证机构全程参与监督，持有《“并列第一”顺序号》且按期缴纳购房款的被</w:t>
      </w:r>
      <w:r>
        <w:rPr>
          <w:rFonts w:hint="eastAsia"/>
          <w:lang w:eastAsia="zh-CN"/>
        </w:rPr>
        <w:t>搬迁</w:t>
      </w:r>
      <w:r>
        <w:rPr>
          <w:lang w:eastAsia="zh-CN"/>
        </w:rPr>
        <w:t>人为第一批认购对象，其余被</w:t>
      </w:r>
      <w:r>
        <w:rPr>
          <w:rFonts w:hint="eastAsia"/>
          <w:lang w:eastAsia="zh-CN"/>
        </w:rPr>
        <w:t>搬迁</w:t>
      </w:r>
      <w:r>
        <w:rPr>
          <w:lang w:eastAsia="zh-CN"/>
        </w:rPr>
        <w:t>人按批次认购，具体认购细则另行制定，并在认购前公示。</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val="en-US" w:eastAsia="zh-CN"/>
        </w:rPr>
        <w:t>二</w:t>
      </w:r>
      <w:r>
        <w:rPr>
          <w:rFonts w:hint="eastAsia" w:ascii="黑体" w:hAnsi="黑体" w:eastAsia="黑体" w:cs="黑体"/>
          <w:b/>
          <w:bCs/>
          <w:lang w:eastAsia="zh-CN"/>
        </w:rPr>
        <w:t>十</w:t>
      </w:r>
      <w:r>
        <w:rPr>
          <w:rFonts w:hint="eastAsia" w:ascii="黑体" w:hAnsi="黑体" w:eastAsia="黑体" w:cs="黑体"/>
          <w:b/>
          <w:bCs/>
          <w:lang w:val="en-US" w:eastAsia="zh-CN"/>
        </w:rPr>
        <w:t>八</w:t>
      </w:r>
      <w:r>
        <w:rPr>
          <w:rFonts w:ascii="黑体" w:hAnsi="黑体" w:eastAsia="黑体" w:cs="黑体"/>
          <w:b/>
          <w:bCs/>
          <w:lang w:eastAsia="zh-CN"/>
        </w:rPr>
        <w:t>条</w:t>
      </w:r>
      <w:r>
        <w:rPr>
          <w:lang w:eastAsia="zh-CN"/>
        </w:rPr>
        <w:t xml:space="preserve"> 安置房认购结束后，被搬迁人根据所认购安置房的区位、层次、朝向等因素确定的安置房的实际价格，凭实施单位开具的安置房结算单结清剩余房款及水、电气等相关配套费用后，领取安置房调配单和钥匙，完成安置房交付工作。</w:t>
      </w:r>
    </w:p>
    <w:p>
      <w:pPr>
        <w:pStyle w:val="3"/>
        <w:snapToGrid w:val="0"/>
        <w:spacing w:before="100" w:beforeAutospacing="1" w:after="100" w:afterAutospacing="1" w:line="560" w:lineRule="exact"/>
        <w:ind w:left="0" w:firstLineChars="200"/>
        <w:contextualSpacing/>
        <w:jc w:val="both"/>
        <w:rPr>
          <w:lang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r>
        <w:rPr>
          <w:rFonts w:ascii="黑体" w:hAnsi="黑体" w:eastAsia="黑体" w:cs="黑体"/>
          <w:lang w:eastAsia="zh-CN"/>
        </w:rPr>
        <w:t>第</w:t>
      </w:r>
      <w:r>
        <w:rPr>
          <w:rFonts w:hint="eastAsia" w:ascii="黑体" w:hAnsi="黑体" w:eastAsia="黑体" w:cs="黑体"/>
          <w:lang w:eastAsia="zh-CN"/>
        </w:rPr>
        <w:t>八</w:t>
      </w:r>
      <w:r>
        <w:rPr>
          <w:rFonts w:ascii="黑体" w:hAnsi="黑体" w:eastAsia="黑体" w:cs="黑体"/>
          <w:lang w:eastAsia="zh-CN"/>
        </w:rPr>
        <w:t>章</w:t>
      </w:r>
      <w:r>
        <w:rPr>
          <w:rFonts w:hint="eastAsia" w:ascii="黑体" w:hAnsi="黑体" w:eastAsia="黑体" w:cs="黑体"/>
          <w:lang w:eastAsia="zh-CN"/>
        </w:rPr>
        <w:t xml:space="preserve"> 实物补偿</w:t>
      </w:r>
      <w:r>
        <w:rPr>
          <w:rFonts w:ascii="黑体" w:hAnsi="黑体" w:eastAsia="黑体" w:cs="黑体"/>
          <w:lang w:eastAsia="zh-CN"/>
        </w:rPr>
        <w:t>标准</w:t>
      </w:r>
    </w:p>
    <w:p>
      <w:pPr>
        <w:pStyle w:val="3"/>
        <w:snapToGrid w:val="0"/>
        <w:spacing w:before="100" w:beforeAutospacing="1" w:after="100" w:afterAutospacing="1" w:line="560" w:lineRule="exact"/>
        <w:ind w:left="0" w:firstLineChars="200"/>
        <w:contextualSpacing/>
        <w:jc w:val="both"/>
        <w:rPr>
          <w:rFonts w:ascii="黑体" w:hAnsi="黑体" w:eastAsia="黑体" w:cs="黑体"/>
          <w:lang w:eastAsia="zh-CN"/>
        </w:rPr>
      </w:pPr>
    </w:p>
    <w:p>
      <w:pPr>
        <w:pStyle w:val="3"/>
        <w:snapToGrid w:val="0"/>
        <w:spacing w:before="100" w:beforeAutospacing="1" w:after="100" w:afterAutospacing="1" w:line="560" w:lineRule="exact"/>
        <w:ind w:left="0" w:firstLine="643" w:firstLineChars="200"/>
        <w:contextualSpacing/>
        <w:jc w:val="both"/>
        <w:rPr>
          <w:color w:val="FF0000"/>
          <w:lang w:eastAsia="zh-CN"/>
        </w:rPr>
      </w:pPr>
      <w:r>
        <w:rPr>
          <w:rFonts w:hint="eastAsia" w:ascii="黑体" w:hAnsi="黑体" w:eastAsia="黑体" w:cs="黑体"/>
          <w:b/>
          <w:bCs/>
          <w:lang w:eastAsia="zh-CN"/>
        </w:rPr>
        <w:t>第</w:t>
      </w:r>
      <w:r>
        <w:rPr>
          <w:rFonts w:hint="eastAsia" w:ascii="黑体" w:hAnsi="黑体" w:eastAsia="黑体" w:cs="黑体"/>
          <w:b/>
          <w:bCs/>
          <w:lang w:val="en-US" w:eastAsia="zh-CN"/>
        </w:rPr>
        <w:t>二十九</w:t>
      </w:r>
      <w:r>
        <w:rPr>
          <w:rFonts w:hint="eastAsia" w:ascii="黑体" w:hAnsi="黑体" w:eastAsia="黑体" w:cs="黑体"/>
          <w:b/>
          <w:bCs/>
          <w:lang w:eastAsia="zh-CN"/>
        </w:rPr>
        <w:t>条</w:t>
      </w:r>
      <w:r>
        <w:rPr>
          <w:rFonts w:hint="eastAsia"/>
          <w:color w:val="FF0000"/>
          <w:lang w:eastAsia="zh-CN"/>
        </w:rPr>
        <w:t xml:space="preserve"> </w:t>
      </w:r>
      <w:r>
        <w:rPr>
          <w:lang w:eastAsia="zh-CN"/>
        </w:rPr>
        <w:t>本项目移民实物指标调查基准日为2022年9月20日，即</w:t>
      </w:r>
      <w:r>
        <w:rPr>
          <w:rFonts w:hint="eastAsia"/>
          <w:lang w:eastAsia="zh-CN"/>
        </w:rPr>
        <w:t>《停建</w:t>
      </w:r>
      <w:r>
        <w:rPr>
          <w:lang w:eastAsia="zh-CN"/>
        </w:rPr>
        <w:t>通告</w:t>
      </w:r>
      <w:r>
        <w:rPr>
          <w:rFonts w:hint="eastAsia"/>
          <w:lang w:eastAsia="zh-CN"/>
        </w:rPr>
        <w:t>》</w:t>
      </w:r>
      <w:r>
        <w:rPr>
          <w:lang w:eastAsia="zh-CN"/>
        </w:rPr>
        <w:t>发布之日</w:t>
      </w:r>
      <w:r>
        <w:rPr>
          <w:rFonts w:hint="eastAsia"/>
          <w:lang w:eastAsia="zh-CN"/>
        </w:rPr>
        <w:t>起；抢种、补种现象一律不予补偿</w:t>
      </w:r>
      <w:r>
        <w:rPr>
          <w:lang w:eastAsia="zh-CN"/>
        </w:rPr>
        <w:t>。经审核后</w:t>
      </w:r>
      <w:r>
        <w:rPr>
          <w:rFonts w:hint="eastAsia"/>
          <w:lang w:eastAsia="zh-CN"/>
        </w:rPr>
        <w:t>的</w:t>
      </w:r>
      <w:r>
        <w:rPr>
          <w:lang w:eastAsia="zh-CN"/>
        </w:rPr>
        <w:t>移民实物指标调查成果是确定移民安置人口身份，确定并兑现各种安置、补偿、补助奖励等政策的主要依据。实物如有遗漏或数据不准确确需复核的，经复核确认，实物补偿以复核结果为准。</w:t>
      </w:r>
    </w:p>
    <w:p>
      <w:pPr>
        <w:pStyle w:val="3"/>
        <w:snapToGrid w:val="0"/>
        <w:spacing w:before="100" w:beforeAutospacing="1" w:after="100" w:afterAutospacing="1" w:line="560" w:lineRule="exact"/>
        <w:ind w:left="0" w:firstLine="643" w:firstLineChars="200"/>
        <w:contextualSpacing/>
        <w:jc w:val="both"/>
        <w:rPr>
          <w:rFonts w:hint="eastAsia"/>
          <w:lang w:eastAsia="zh-CN"/>
        </w:rPr>
      </w:pPr>
      <w:r>
        <w:rPr>
          <w:rFonts w:ascii="黑体" w:hAnsi="黑体" w:eastAsia="黑体" w:cs="黑体"/>
          <w:b/>
          <w:bCs/>
          <w:lang w:eastAsia="zh-CN"/>
        </w:rPr>
        <w:t>第</w:t>
      </w:r>
      <w:r>
        <w:rPr>
          <w:rFonts w:hint="eastAsia" w:ascii="黑体" w:hAnsi="黑体" w:eastAsia="黑体" w:cs="黑体"/>
          <w:b/>
          <w:bCs/>
          <w:lang w:val="en-US" w:eastAsia="zh-CN"/>
        </w:rPr>
        <w:t>三十</w:t>
      </w:r>
      <w:r>
        <w:rPr>
          <w:rFonts w:ascii="黑体" w:hAnsi="黑体" w:eastAsia="黑体" w:cs="黑体"/>
          <w:b/>
          <w:bCs/>
          <w:lang w:eastAsia="zh-CN"/>
        </w:rPr>
        <w:t>条</w:t>
      </w:r>
      <w:r>
        <w:rPr>
          <w:rFonts w:hint="eastAsia" w:ascii="黑体" w:hAnsi="黑体" w:eastAsia="黑体" w:cs="黑体"/>
          <w:lang w:eastAsia="zh-CN"/>
        </w:rPr>
        <w:t xml:space="preserve"> </w:t>
      </w:r>
      <w:r>
        <w:rPr>
          <w:lang w:eastAsia="zh-CN"/>
        </w:rPr>
        <w:t>本工程项目范围内</w:t>
      </w:r>
      <w:r>
        <w:rPr>
          <w:rFonts w:hint="eastAsia"/>
          <w:lang w:eastAsia="zh-CN"/>
        </w:rPr>
        <w:t>涉及的青苗、地上附着物等补偿标准按照《永嘉县人民政府关于调整全县青苗及地上附着物补偿标准的通知》（永政发〔2020〕103号）等文件规定执行。其他未涉及附着物的补偿标准参照周边类似重点工程执行。</w:t>
      </w: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hint="eastAsia" w:ascii="黑体" w:hAnsi="黑体" w:eastAsia="黑体" w:cs="黑体"/>
          <w:lang w:eastAsia="zh-CN"/>
        </w:rPr>
      </w:pPr>
      <w:r>
        <w:rPr>
          <w:rFonts w:ascii="黑体" w:hAnsi="黑体" w:eastAsia="黑体" w:cs="黑体"/>
          <w:lang w:eastAsia="zh-CN"/>
        </w:rPr>
        <w:t>第</w:t>
      </w:r>
      <w:r>
        <w:rPr>
          <w:rFonts w:hint="eastAsia" w:ascii="黑体" w:hAnsi="黑体" w:eastAsia="黑体" w:cs="黑体"/>
          <w:lang w:eastAsia="zh-CN"/>
        </w:rPr>
        <w:t>九</w:t>
      </w:r>
      <w:r>
        <w:rPr>
          <w:rFonts w:ascii="黑体" w:hAnsi="黑体" w:eastAsia="黑体" w:cs="黑体"/>
          <w:lang w:eastAsia="zh-CN"/>
        </w:rPr>
        <w:t>章</w:t>
      </w:r>
      <w:r>
        <w:rPr>
          <w:rFonts w:hint="eastAsia" w:ascii="黑体" w:hAnsi="黑体" w:eastAsia="黑体" w:cs="黑体"/>
          <w:lang w:eastAsia="zh-CN"/>
        </w:rPr>
        <w:t xml:space="preserve"> 其他规定</w:t>
      </w:r>
    </w:p>
    <w:p>
      <w:pPr>
        <w:pStyle w:val="2"/>
        <w:numPr>
          <w:ilvl w:val="0"/>
          <w:numId w:val="0"/>
        </w:numPr>
        <w:ind w:firstLine="643" w:firstLineChars="200"/>
        <w:rPr>
          <w:rFonts w:hint="eastAsia" w:ascii="仿宋_GB2312" w:hAnsi="仿宋_GB2312" w:eastAsia="仿宋_GB2312" w:cstheme="minorBidi"/>
          <w:sz w:val="32"/>
          <w:szCs w:val="32"/>
          <w:lang w:val="en-US" w:eastAsia="zh-CN" w:bidi="ar-SA"/>
        </w:rPr>
      </w:pPr>
      <w:r>
        <w:rPr>
          <w:rFonts w:hint="eastAsia" w:ascii="黑体" w:hAnsi="黑体" w:eastAsia="黑体" w:cs="黑体"/>
          <w:b/>
          <w:bCs/>
          <w:sz w:val="32"/>
          <w:szCs w:val="32"/>
          <w:lang w:val="en-US" w:eastAsia="zh-CN" w:bidi="ar-SA"/>
        </w:rPr>
        <w:t>第</w:t>
      </w:r>
      <w:r>
        <w:rPr>
          <w:rFonts w:hint="eastAsia" w:ascii="黑体" w:hAnsi="黑体" w:eastAsia="黑体" w:cs="黑体"/>
          <w:b/>
          <w:bCs/>
          <w:sz w:val="32"/>
          <w:szCs w:val="32"/>
          <w:lang w:eastAsia="zh-CN"/>
        </w:rPr>
        <w:t>三十</w:t>
      </w:r>
      <w:r>
        <w:rPr>
          <w:rFonts w:hint="eastAsia" w:ascii="黑体" w:hAnsi="黑体" w:eastAsia="黑体" w:cs="黑体"/>
          <w:b/>
          <w:bCs/>
          <w:sz w:val="32"/>
          <w:szCs w:val="32"/>
          <w:lang w:val="en-US" w:eastAsia="zh-CN"/>
        </w:rPr>
        <w:t>一</w:t>
      </w:r>
      <w:r>
        <w:rPr>
          <w:rFonts w:hint="eastAsia" w:ascii="黑体" w:hAnsi="黑体" w:eastAsia="黑体" w:cs="黑体"/>
          <w:b/>
          <w:bCs/>
          <w:sz w:val="32"/>
          <w:szCs w:val="32"/>
          <w:lang w:val="en-US" w:eastAsia="zh-CN" w:bidi="ar-SA"/>
        </w:rPr>
        <w:t>条</w:t>
      </w:r>
      <w:r>
        <w:rPr>
          <w:rFonts w:hint="eastAsia" w:ascii="黑体" w:hAnsi="黑体" w:eastAsia="黑体" w:cs="黑体"/>
          <w:b/>
          <w:bCs/>
          <w:sz w:val="28"/>
          <w:szCs w:val="32"/>
          <w:u w:val="none" w:color="auto"/>
          <w:lang w:val="en-US" w:eastAsia="zh-CN" w:bidi="ar-SA"/>
        </w:rPr>
        <w:t xml:space="preserve"> </w:t>
      </w:r>
      <w:r>
        <w:rPr>
          <w:rFonts w:hint="eastAsia" w:ascii="仿宋_GB2312" w:hAnsi="仿宋_GB2312" w:eastAsia="仿宋_GB2312" w:cstheme="minorBidi"/>
          <w:sz w:val="32"/>
          <w:szCs w:val="32"/>
          <w:lang w:val="en-US" w:eastAsia="zh-CN" w:bidi="ar-SA"/>
        </w:rPr>
        <w:t>为减轻农村移民户的经济负担，政府给予其每年贷款额的3%作为贴息补助，时间为3年，贴息补助额度控制在安置房应支付差价款部分的利息金额之内。贴息补助资金在被搬迁人实际支付贷款第一个月起，被搬迁人持贷款协议向属地乡镇（街道）申请贴息补助，具体贷款期限和额度由贷款人与金融机构自行协商。</w:t>
      </w:r>
    </w:p>
    <w:p>
      <w:pPr>
        <w:pStyle w:val="2"/>
        <w:numPr>
          <w:ilvl w:val="0"/>
          <w:numId w:val="0"/>
        </w:numPr>
        <w:ind w:firstLine="643" w:firstLineChars="200"/>
        <w:rPr>
          <w:rFonts w:hint="eastAsia"/>
          <w:highlight w:val="none"/>
          <w:u w:val="none"/>
          <w:lang w:val="en-US" w:eastAsia="zh-CN"/>
        </w:rPr>
      </w:pPr>
      <w:r>
        <w:rPr>
          <w:rFonts w:hint="eastAsia" w:ascii="黑体" w:hAnsi="黑体" w:eastAsia="黑体" w:cs="黑体"/>
          <w:b/>
          <w:bCs/>
          <w:sz w:val="32"/>
          <w:szCs w:val="36"/>
          <w:lang w:val="en-US" w:eastAsia="zh-CN" w:bidi="ar-SA"/>
        </w:rPr>
        <w:t>第三十二条</w:t>
      </w:r>
      <w:r>
        <w:rPr>
          <w:rFonts w:hint="eastAsia" w:ascii="黑体" w:hAnsi="黑体" w:eastAsia="黑体" w:cs="黑体"/>
          <w:b/>
          <w:bCs/>
          <w:sz w:val="28"/>
          <w:szCs w:val="32"/>
          <w:lang w:val="en-US" w:eastAsia="zh-CN" w:bidi="ar-SA"/>
        </w:rPr>
        <w:t xml:space="preserve"> </w:t>
      </w:r>
      <w:r>
        <w:rPr>
          <w:rFonts w:hint="eastAsia" w:ascii="仿宋_GB2312" w:hAnsi="仿宋_GB2312" w:eastAsia="仿宋_GB2312" w:cstheme="minorBidi"/>
          <w:sz w:val="32"/>
          <w:szCs w:val="32"/>
          <w:highlight w:val="none"/>
          <w:u w:val="none"/>
          <w:lang w:val="en-US" w:eastAsia="zh-CN" w:bidi="ar-SA"/>
        </w:rPr>
        <w:t>农村移民搬迁中建档立卡的低收入农户按人均3万元标准补助；农村移民户系低保户、五保户、困难残疾</w:t>
      </w:r>
      <w:r>
        <w:rPr>
          <w:rFonts w:hint="eastAsia" w:hAnsi="仿宋_GB2312" w:cstheme="minorBidi"/>
          <w:sz w:val="32"/>
          <w:szCs w:val="32"/>
          <w:highlight w:val="none"/>
          <w:u w:val="none"/>
          <w:lang w:val="en-US" w:eastAsia="zh-CN" w:bidi="ar-SA"/>
        </w:rPr>
        <w:t>户</w:t>
      </w:r>
      <w:r>
        <w:rPr>
          <w:rFonts w:hint="eastAsia" w:ascii="仿宋_GB2312" w:hAnsi="仿宋_GB2312" w:eastAsia="仿宋_GB2312" w:cstheme="minorBidi"/>
          <w:sz w:val="32"/>
          <w:szCs w:val="32"/>
          <w:highlight w:val="none"/>
          <w:u w:val="none"/>
          <w:lang w:val="en-US" w:eastAsia="zh-CN" w:bidi="ar-SA"/>
        </w:rPr>
        <w:t>，可再行享受住房保障补助政策。</w:t>
      </w:r>
    </w:p>
    <w:p>
      <w:pPr>
        <w:pStyle w:val="2"/>
        <w:numPr>
          <w:ilvl w:val="0"/>
          <w:numId w:val="0"/>
        </w:numPr>
        <w:ind w:firstLine="643" w:firstLineChars="200"/>
        <w:rPr>
          <w:rFonts w:hint="eastAsia" w:cs="仿宋_GB2312"/>
          <w:color w:val="000000" w:themeColor="text1"/>
          <w:u w:color="000000"/>
          <w:lang w:eastAsia="zh-CN"/>
          <w14:textFill>
            <w14:solidFill>
              <w14:schemeClr w14:val="tx1"/>
            </w14:solidFill>
          </w14:textFill>
        </w:rPr>
      </w:pPr>
      <w:r>
        <w:rPr>
          <w:rFonts w:hint="eastAsia" w:ascii="黑体" w:hAnsi="黑体" w:eastAsia="黑体" w:cs="黑体"/>
          <w:b/>
          <w:bCs/>
          <w:sz w:val="32"/>
          <w:szCs w:val="36"/>
          <w:lang w:val="en-US" w:eastAsia="zh-CN" w:bidi="ar-SA"/>
        </w:rPr>
        <w:t>第</w:t>
      </w:r>
      <w:r>
        <w:rPr>
          <w:rFonts w:hint="eastAsia" w:ascii="黑体" w:hAnsi="黑体" w:eastAsia="黑体" w:cs="黑体"/>
          <w:b/>
          <w:bCs/>
          <w:sz w:val="32"/>
          <w:szCs w:val="36"/>
          <w:lang w:eastAsia="zh-CN"/>
        </w:rPr>
        <w:t>三十</w:t>
      </w:r>
      <w:r>
        <w:rPr>
          <w:rFonts w:hint="eastAsia" w:ascii="黑体" w:hAnsi="黑体" w:eastAsia="黑体" w:cs="黑体"/>
          <w:b/>
          <w:bCs/>
          <w:sz w:val="32"/>
          <w:szCs w:val="36"/>
          <w:lang w:val="en-US" w:eastAsia="zh-CN"/>
        </w:rPr>
        <w:t>三</w:t>
      </w:r>
      <w:r>
        <w:rPr>
          <w:rFonts w:hint="eastAsia" w:ascii="黑体" w:hAnsi="黑体" w:eastAsia="黑体" w:cs="黑体"/>
          <w:b/>
          <w:bCs/>
          <w:sz w:val="32"/>
          <w:szCs w:val="36"/>
          <w:lang w:val="en-US" w:eastAsia="zh-CN" w:bidi="ar-SA"/>
        </w:rPr>
        <w:t>条</w:t>
      </w:r>
      <w:r>
        <w:rPr>
          <w:rFonts w:hint="eastAsia" w:ascii="黑体" w:hAnsi="黑体" w:eastAsia="黑体" w:cs="黑体"/>
          <w:b/>
          <w:bCs/>
          <w:sz w:val="28"/>
          <w:szCs w:val="32"/>
          <w:lang w:val="en-US" w:eastAsia="zh-CN" w:bidi="ar-SA"/>
        </w:rPr>
        <w:t xml:space="preserve"> </w:t>
      </w:r>
      <w:r>
        <w:rPr>
          <w:rFonts w:hint="eastAsia" w:ascii="仿宋_GB2312" w:hAnsi="仿宋_GB2312" w:eastAsia="仿宋_GB2312" w:cstheme="minorBidi"/>
          <w:sz w:val="32"/>
          <w:szCs w:val="32"/>
          <w:lang w:val="en-US" w:eastAsia="zh-CN" w:bidi="ar-SA"/>
        </w:rPr>
        <w:t>农村移民户在《停建通告》发布日后离婚的，不予析产分户，按原婚姻关系处理。</w:t>
      </w:r>
      <w:r>
        <w:rPr>
          <w:rFonts w:hint="eastAsia" w:ascii="黑体" w:hAnsi="黑体" w:eastAsia="黑体" w:cs="黑体"/>
          <w:b/>
          <w:bCs/>
          <w:sz w:val="28"/>
          <w:szCs w:val="32"/>
          <w:lang w:val="en-US" w:eastAsia="zh-CN" w:bidi="ar-SA"/>
        </w:rPr>
        <w:t xml:space="preserve">  </w:t>
      </w:r>
    </w:p>
    <w:p>
      <w:pPr>
        <w:pStyle w:val="3"/>
        <w:tabs>
          <w:tab w:val="left" w:pos="0"/>
        </w:tabs>
        <w:adjustRightInd w:val="0"/>
        <w:snapToGrid w:val="0"/>
        <w:spacing w:before="240" w:beforeLines="100" w:after="240" w:afterLines="100" w:line="560" w:lineRule="exact"/>
        <w:ind w:left="0" w:firstLine="0"/>
        <w:contextualSpacing/>
        <w:jc w:val="center"/>
        <w:outlineLvl w:val="0"/>
        <w:rPr>
          <w:rFonts w:hint="eastAsia" w:ascii="黑体" w:hAnsi="黑体" w:eastAsia="黑体" w:cs="黑体"/>
          <w:lang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r>
        <w:rPr>
          <w:rFonts w:hint="eastAsia" w:ascii="黑体" w:hAnsi="黑体" w:eastAsia="黑体" w:cs="黑体"/>
          <w:lang w:eastAsia="zh-CN"/>
        </w:rPr>
        <w:t>第十章</w:t>
      </w:r>
      <w:r>
        <w:rPr>
          <w:rFonts w:ascii="黑体" w:hAnsi="黑体" w:eastAsia="黑体" w:cs="黑体"/>
          <w:lang w:eastAsia="zh-CN"/>
        </w:rPr>
        <w:t xml:space="preserve"> </w:t>
      </w:r>
      <w:r>
        <w:rPr>
          <w:rFonts w:hint="eastAsia" w:ascii="黑体" w:hAnsi="黑体" w:eastAsia="黑体" w:cs="黑体"/>
          <w:lang w:eastAsia="zh-CN"/>
        </w:rPr>
        <w:t>实施管理</w:t>
      </w:r>
    </w:p>
    <w:p>
      <w:pPr>
        <w:pStyle w:val="12"/>
        <w:shd w:val="clear" w:color="auto" w:fill="FFFFFF"/>
        <w:spacing w:before="0" w:beforeAutospacing="0" w:after="0" w:afterAutospacing="0" w:line="560" w:lineRule="exact"/>
        <w:ind w:firstLine="643" w:firstLineChars="200"/>
        <w:jc w:val="both"/>
        <w:rPr>
          <w:rFonts w:ascii="仿宋_GB2312" w:hAnsi="仿宋_GB2312" w:eastAsia="仿宋_GB2312" w:cstheme="minorBidi"/>
          <w:spacing w:val="1"/>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三十</w:t>
      </w: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条</w:t>
      </w:r>
      <w:r>
        <w:rPr>
          <w:rFonts w:ascii="黑体" w:hAnsi="黑体" w:eastAsia="黑体" w:cs="黑体"/>
          <w:sz w:val="32"/>
          <w:szCs w:val="32"/>
        </w:rPr>
        <w:t xml:space="preserve"> </w:t>
      </w:r>
      <w:r>
        <w:rPr>
          <w:rFonts w:hint="eastAsia" w:ascii="Calibri" w:hAnsi="Calibri" w:eastAsia="黑体" w:cs="Calibri"/>
          <w:sz w:val="32"/>
          <w:szCs w:val="32"/>
        </w:rPr>
        <w:t> </w:t>
      </w:r>
      <w:r>
        <w:rPr>
          <w:rFonts w:hint="eastAsia" w:ascii="仿宋_GB2312" w:hAnsi="仿宋_GB2312" w:eastAsia="仿宋_GB2312" w:cstheme="minorBidi"/>
          <w:spacing w:val="1"/>
          <w:sz w:val="32"/>
          <w:szCs w:val="32"/>
        </w:rPr>
        <w:t>实施单位应加强实施管理工作，做好移民计划管理、项目管理、资金管理以及档案管理，做到切实保障移民合法权益。</w:t>
      </w:r>
    </w:p>
    <w:p>
      <w:pPr>
        <w:pStyle w:val="12"/>
        <w:shd w:val="clear" w:color="auto" w:fill="FFFFFF"/>
        <w:spacing w:before="0" w:beforeAutospacing="0" w:after="0" w:afterAutospacing="0" w:line="560" w:lineRule="exact"/>
        <w:ind w:firstLine="643" w:firstLineChars="200"/>
        <w:jc w:val="both"/>
        <w:rPr>
          <w:rFonts w:ascii="仿宋_GB2312" w:hAnsi="仿宋_GB2312" w:eastAsia="仿宋_GB2312" w:cstheme="minorBidi"/>
          <w:spacing w:val="1"/>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三十</w:t>
      </w:r>
      <w:r>
        <w:rPr>
          <w:rFonts w:hint="eastAsia" w:ascii="黑体" w:hAnsi="黑体" w:eastAsia="黑体" w:cs="黑体"/>
          <w:b/>
          <w:bCs/>
          <w:sz w:val="32"/>
          <w:szCs w:val="32"/>
          <w:lang w:val="en-US" w:eastAsia="zh-CN"/>
        </w:rPr>
        <w:t>五</w:t>
      </w:r>
      <w:r>
        <w:rPr>
          <w:rFonts w:hint="eastAsia" w:ascii="黑体" w:hAnsi="黑体" w:eastAsia="黑体" w:cs="黑体"/>
          <w:b/>
          <w:bCs/>
          <w:sz w:val="32"/>
          <w:szCs w:val="32"/>
        </w:rPr>
        <w:t>条</w:t>
      </w:r>
      <w:r>
        <w:rPr>
          <w:rFonts w:ascii="黑体" w:hAnsi="黑体" w:eastAsia="黑体" w:cs="黑体"/>
          <w:sz w:val="32"/>
          <w:szCs w:val="32"/>
        </w:rPr>
        <w:t xml:space="preserve"> </w:t>
      </w:r>
      <w:r>
        <w:rPr>
          <w:rFonts w:hint="eastAsia" w:ascii="Calibri" w:hAnsi="Calibri" w:eastAsia="黑体" w:cs="Calibri"/>
          <w:sz w:val="32"/>
          <w:szCs w:val="32"/>
        </w:rPr>
        <w:t> </w:t>
      </w:r>
      <w:r>
        <w:rPr>
          <w:rFonts w:hint="eastAsia" w:ascii="仿宋_GB2312" w:hAnsi="仿宋_GB2312" w:eastAsia="仿宋_GB2312" w:cstheme="minorBidi"/>
          <w:spacing w:val="1"/>
          <w:sz w:val="32"/>
          <w:szCs w:val="32"/>
        </w:rPr>
        <w:t>单位或个人提供的相关材料必须真实合法。对于玩忽职守、滥用职权、徇私舞弊、弄虚作假的，依法依规追究相应的责任。</w:t>
      </w:r>
    </w:p>
    <w:p>
      <w:pPr>
        <w:pStyle w:val="12"/>
        <w:shd w:val="clear" w:color="auto" w:fill="FFFFFF"/>
        <w:spacing w:before="0" w:beforeAutospacing="0" w:after="0" w:afterAutospacing="0" w:line="560" w:lineRule="exact"/>
        <w:ind w:firstLine="643" w:firstLineChars="200"/>
        <w:jc w:val="both"/>
        <w:rPr>
          <w:rFonts w:ascii="仿宋_GB2312" w:hAnsi="仿宋_GB2312" w:eastAsia="仿宋_GB2312" w:cstheme="minorBidi"/>
          <w:spacing w:val="1"/>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三十</w:t>
      </w:r>
      <w:r>
        <w:rPr>
          <w:rFonts w:hint="eastAsia" w:ascii="黑体" w:hAnsi="黑体" w:eastAsia="黑体" w:cs="黑体"/>
          <w:b/>
          <w:bCs/>
          <w:sz w:val="32"/>
          <w:szCs w:val="32"/>
          <w:lang w:val="en-US" w:eastAsia="zh-CN"/>
        </w:rPr>
        <w:t>六</w:t>
      </w:r>
      <w:r>
        <w:rPr>
          <w:rFonts w:hint="eastAsia" w:ascii="黑体" w:hAnsi="黑体" w:eastAsia="黑体" w:cs="黑体"/>
          <w:b/>
          <w:bCs/>
          <w:sz w:val="32"/>
          <w:szCs w:val="32"/>
        </w:rPr>
        <w:t>条</w:t>
      </w:r>
      <w:r>
        <w:rPr>
          <w:rFonts w:ascii="黑体" w:hAnsi="黑体" w:eastAsia="黑体" w:cs="黑体"/>
          <w:sz w:val="32"/>
          <w:szCs w:val="32"/>
        </w:rPr>
        <w:t xml:space="preserve"> </w:t>
      </w:r>
      <w:r>
        <w:rPr>
          <w:rFonts w:hint="eastAsia" w:ascii="Calibri" w:hAnsi="Calibri" w:eastAsia="黑体" w:cs="Calibri"/>
          <w:sz w:val="32"/>
          <w:szCs w:val="32"/>
        </w:rPr>
        <w:t> </w:t>
      </w:r>
      <w:r>
        <w:rPr>
          <w:rFonts w:hint="eastAsia" w:ascii="仿宋_GB2312" w:hAnsi="仿宋_GB2312" w:eastAsia="仿宋_GB2312" w:cstheme="minorBidi"/>
          <w:spacing w:val="1"/>
          <w:sz w:val="32"/>
          <w:szCs w:val="32"/>
        </w:rPr>
        <w:t>属于个人所有的房屋及附属建筑物、青苗及地上附着物的补偿款、补助费和奖励费核算到户；属于村集体所有的集体资产补偿款、补助费和奖励费核算到行政村，统筹用于该村的集体公共项目建设、集体经济发展和移民生产生活安置。</w:t>
      </w: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r>
        <w:rPr>
          <w:rFonts w:ascii="黑体" w:hAnsi="黑体" w:eastAsia="黑体" w:cs="黑体"/>
          <w:lang w:eastAsia="zh-CN"/>
        </w:rPr>
        <w:t>第</w:t>
      </w:r>
      <w:r>
        <w:rPr>
          <w:rFonts w:hint="eastAsia" w:ascii="黑体" w:hAnsi="黑体" w:eastAsia="黑体" w:cs="黑体"/>
          <w:lang w:eastAsia="zh-CN"/>
        </w:rPr>
        <w:t>十一</w:t>
      </w:r>
      <w:r>
        <w:rPr>
          <w:rFonts w:ascii="黑体" w:hAnsi="黑体" w:eastAsia="黑体" w:cs="黑体"/>
          <w:lang w:eastAsia="zh-CN"/>
        </w:rPr>
        <w:t>章</w:t>
      </w:r>
      <w:r>
        <w:rPr>
          <w:rFonts w:hint="eastAsia" w:ascii="黑体" w:hAnsi="黑体" w:eastAsia="黑体" w:cs="黑体"/>
          <w:lang w:eastAsia="zh-CN"/>
        </w:rPr>
        <w:t xml:space="preserve"> </w:t>
      </w:r>
      <w:r>
        <w:rPr>
          <w:rFonts w:ascii="黑体" w:hAnsi="黑体" w:eastAsia="黑体" w:cs="黑体"/>
          <w:lang w:eastAsia="zh-CN"/>
        </w:rPr>
        <w:t>争议的解决</w:t>
      </w:r>
    </w:p>
    <w:p>
      <w:pPr>
        <w:pStyle w:val="2"/>
        <w:rPr>
          <w:lang w:eastAsia="zh-CN"/>
        </w:rPr>
      </w:pP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val="en-US" w:eastAsia="zh-CN"/>
        </w:rPr>
        <w:t>三十七</w:t>
      </w:r>
      <w:r>
        <w:rPr>
          <w:rFonts w:ascii="黑体" w:hAnsi="黑体" w:eastAsia="黑体" w:cs="黑体"/>
          <w:b/>
          <w:bCs/>
          <w:lang w:eastAsia="zh-CN"/>
        </w:rPr>
        <w:t>条</w:t>
      </w:r>
      <w:r>
        <w:rPr>
          <w:rFonts w:hint="eastAsia" w:ascii="黑体" w:hAnsi="黑体" w:eastAsia="黑体" w:cs="黑体"/>
          <w:lang w:eastAsia="zh-CN"/>
        </w:rPr>
        <w:t xml:space="preserve"> </w:t>
      </w:r>
      <w:r>
        <w:rPr>
          <w:lang w:eastAsia="zh-CN"/>
        </w:rPr>
        <w:t>房屋补偿协议签订后，双方如有发生争议的，通过法律途径解决。</w:t>
      </w:r>
    </w:p>
    <w:p>
      <w:pPr>
        <w:pStyle w:val="3"/>
        <w:snapToGrid w:val="0"/>
        <w:spacing w:before="100" w:beforeAutospacing="1" w:after="100" w:afterAutospacing="1" w:line="560" w:lineRule="exact"/>
        <w:ind w:left="0" w:firstLine="643" w:firstLineChars="200"/>
        <w:contextualSpacing/>
        <w:jc w:val="both"/>
        <w:rPr>
          <w:u w:val="none"/>
          <w:lang w:eastAsia="zh-CN"/>
        </w:rPr>
      </w:pPr>
      <w:r>
        <w:rPr>
          <w:rFonts w:ascii="黑体" w:hAnsi="黑体" w:eastAsia="黑体" w:cs="黑体"/>
          <w:b/>
          <w:bCs/>
          <w:lang w:eastAsia="zh-CN"/>
        </w:rPr>
        <w:t>第</w:t>
      </w:r>
      <w:r>
        <w:rPr>
          <w:rFonts w:hint="eastAsia" w:ascii="黑体" w:hAnsi="黑体" w:eastAsia="黑体" w:cs="黑体"/>
          <w:b/>
          <w:bCs/>
          <w:lang w:val="en-US" w:eastAsia="zh-CN"/>
        </w:rPr>
        <w:t>三</w:t>
      </w:r>
      <w:r>
        <w:rPr>
          <w:rFonts w:hint="eastAsia" w:ascii="黑体" w:hAnsi="黑体" w:eastAsia="黑体" w:cs="黑体"/>
          <w:b/>
          <w:bCs/>
          <w:lang w:eastAsia="zh-CN"/>
        </w:rPr>
        <w:t>十</w:t>
      </w:r>
      <w:r>
        <w:rPr>
          <w:rFonts w:hint="eastAsia" w:ascii="黑体" w:hAnsi="黑体" w:eastAsia="黑体" w:cs="黑体"/>
          <w:b/>
          <w:bCs/>
          <w:lang w:val="en-US" w:eastAsia="zh-CN"/>
        </w:rPr>
        <w:t>八</w:t>
      </w:r>
      <w:r>
        <w:rPr>
          <w:rFonts w:ascii="黑体" w:hAnsi="黑体" w:eastAsia="黑体" w:cs="黑体"/>
          <w:b/>
          <w:bCs/>
          <w:lang w:eastAsia="zh-CN"/>
        </w:rPr>
        <w:t>条</w:t>
      </w:r>
      <w:r>
        <w:rPr>
          <w:rFonts w:hint="eastAsia" w:ascii="黑体" w:hAnsi="黑体" w:eastAsia="黑体" w:cs="黑体"/>
          <w:lang w:eastAsia="zh-CN"/>
        </w:rPr>
        <w:t xml:space="preserve"> </w:t>
      </w:r>
      <w:r>
        <w:rPr>
          <w:rFonts w:hint="eastAsia"/>
          <w:lang w:val="en-US" w:eastAsia="zh-CN"/>
        </w:rPr>
        <w:t>被搬迁人</w:t>
      </w:r>
      <w:r>
        <w:rPr>
          <w:u w:val="none"/>
          <w:lang w:eastAsia="zh-CN"/>
        </w:rPr>
        <w:t>在签约期限内</w:t>
      </w:r>
      <w:r>
        <w:rPr>
          <w:rFonts w:hint="eastAsia"/>
          <w:u w:val="none"/>
          <w:lang w:eastAsia="zh-CN"/>
        </w:rPr>
        <w:t>未</w:t>
      </w:r>
      <w:r>
        <w:rPr>
          <w:u w:val="none"/>
          <w:lang w:eastAsia="zh-CN"/>
        </w:rPr>
        <w:t>达成补偿</w:t>
      </w:r>
      <w:r>
        <w:rPr>
          <w:rFonts w:hint="eastAsia"/>
          <w:u w:val="none"/>
          <w:lang w:eastAsia="zh-CN"/>
        </w:rPr>
        <w:t>安置</w:t>
      </w:r>
      <w:r>
        <w:rPr>
          <w:u w:val="none"/>
          <w:lang w:eastAsia="zh-CN"/>
        </w:rPr>
        <w:t>协议</w:t>
      </w:r>
      <w:r>
        <w:rPr>
          <w:rFonts w:hint="eastAsia"/>
          <w:u w:val="none"/>
          <w:lang w:eastAsia="zh-CN"/>
        </w:rPr>
        <w:t>的</w:t>
      </w:r>
      <w:r>
        <w:rPr>
          <w:u w:val="none"/>
          <w:lang w:eastAsia="zh-CN"/>
        </w:rPr>
        <w:t>，根据《浙江省土地管理条例》，由永嘉县人民政府对</w:t>
      </w:r>
      <w:r>
        <w:rPr>
          <w:rFonts w:hint="eastAsia"/>
          <w:lang w:val="en-US" w:eastAsia="zh-CN"/>
        </w:rPr>
        <w:t>被搬迁人</w:t>
      </w:r>
      <w:r>
        <w:rPr>
          <w:u w:val="none"/>
          <w:lang w:eastAsia="zh-CN"/>
        </w:rPr>
        <w:t>做出征地补偿安置决定，并附被征收集体土地涉及房屋的具体补偿安置方案。</w:t>
      </w:r>
    </w:p>
    <w:p>
      <w:pPr>
        <w:pStyle w:val="3"/>
        <w:snapToGrid w:val="0"/>
        <w:spacing w:before="100" w:beforeAutospacing="1" w:after="100" w:afterAutospacing="1" w:line="560" w:lineRule="exact"/>
        <w:ind w:left="0" w:firstLine="643" w:firstLineChars="200"/>
        <w:contextualSpacing/>
        <w:jc w:val="both"/>
        <w:rPr>
          <w:u w:val="none"/>
          <w:lang w:eastAsia="zh-CN"/>
        </w:rPr>
      </w:pPr>
      <w:r>
        <w:rPr>
          <w:rFonts w:ascii="黑体" w:hAnsi="黑体" w:eastAsia="黑体" w:cs="黑体"/>
          <w:b/>
          <w:bCs/>
          <w:lang w:eastAsia="zh-CN"/>
        </w:rPr>
        <w:t>第</w:t>
      </w:r>
      <w:r>
        <w:rPr>
          <w:rFonts w:hint="eastAsia" w:ascii="黑体" w:hAnsi="黑体" w:eastAsia="黑体" w:cs="黑体"/>
          <w:b/>
          <w:bCs/>
          <w:lang w:val="en-US" w:eastAsia="zh-CN"/>
        </w:rPr>
        <w:t>三十九</w:t>
      </w:r>
      <w:r>
        <w:rPr>
          <w:rFonts w:ascii="黑体" w:hAnsi="黑体" w:eastAsia="黑体" w:cs="黑体"/>
          <w:b/>
          <w:bCs/>
          <w:lang w:eastAsia="zh-CN"/>
        </w:rPr>
        <w:t>条</w:t>
      </w:r>
      <w:r>
        <w:rPr>
          <w:rFonts w:hint="eastAsia" w:ascii="黑体" w:hAnsi="黑体" w:eastAsia="黑体" w:cs="黑体"/>
          <w:lang w:eastAsia="zh-CN"/>
        </w:rPr>
        <w:t xml:space="preserve"> </w:t>
      </w:r>
      <w:r>
        <w:rPr>
          <w:u w:val="none"/>
          <w:lang w:eastAsia="zh-CN"/>
        </w:rPr>
        <w:t>房屋所有权人对征地补偿安置决定不服的，</w:t>
      </w:r>
      <w:r>
        <w:rPr>
          <w:rFonts w:hint="eastAsia"/>
          <w:u w:val="none"/>
          <w:lang w:eastAsia="zh-CN"/>
        </w:rPr>
        <w:t>可以</w:t>
      </w:r>
      <w:r>
        <w:rPr>
          <w:u w:val="none"/>
          <w:lang w:eastAsia="zh-CN"/>
        </w:rPr>
        <w:t>依法申请行政复议，也</w:t>
      </w:r>
      <w:r>
        <w:rPr>
          <w:rFonts w:hint="eastAsia"/>
          <w:u w:val="none"/>
          <w:lang w:eastAsia="zh-CN"/>
        </w:rPr>
        <w:t>可以</w:t>
      </w:r>
      <w:r>
        <w:rPr>
          <w:u w:val="none"/>
          <w:lang w:eastAsia="zh-CN"/>
        </w:rPr>
        <w:t>依法提起行政诉讼。</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eastAsia="zh-CN"/>
        </w:rPr>
        <w:t>四十</w:t>
      </w:r>
      <w:r>
        <w:rPr>
          <w:rFonts w:ascii="黑体" w:hAnsi="黑体" w:eastAsia="黑体" w:cs="黑体"/>
          <w:b/>
          <w:bCs/>
          <w:lang w:eastAsia="zh-CN"/>
        </w:rPr>
        <w:t>条</w:t>
      </w:r>
      <w:r>
        <w:rPr>
          <w:rFonts w:hint="eastAsia" w:ascii="黑体" w:hAnsi="黑体" w:eastAsia="黑体" w:cs="黑体"/>
          <w:lang w:eastAsia="zh-CN"/>
        </w:rPr>
        <w:t xml:space="preserve"> </w:t>
      </w:r>
      <w:r>
        <w:rPr>
          <w:lang w:eastAsia="zh-CN"/>
        </w:rPr>
        <w:t>房屋所有权人在法定期限内不申请行政复议或者不提起行政诉讼</w:t>
      </w:r>
      <w:r>
        <w:rPr>
          <w:spacing w:val="-58"/>
          <w:lang w:eastAsia="zh-CN"/>
        </w:rPr>
        <w:t>，</w:t>
      </w:r>
      <w:r>
        <w:rPr>
          <w:lang w:eastAsia="zh-CN"/>
        </w:rPr>
        <w:t>又不履行决定的</w:t>
      </w:r>
      <w:r>
        <w:rPr>
          <w:spacing w:val="-58"/>
          <w:lang w:eastAsia="zh-CN"/>
        </w:rPr>
        <w:t>，</w:t>
      </w:r>
      <w:r>
        <w:rPr>
          <w:lang w:eastAsia="zh-CN"/>
        </w:rPr>
        <w:t>经催告后由县人民政府依法申请人民法院强制执行。</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eastAsia="zh-CN"/>
        </w:rPr>
        <w:t>四十</w:t>
      </w:r>
      <w:r>
        <w:rPr>
          <w:rFonts w:hint="eastAsia" w:ascii="黑体" w:hAnsi="黑体" w:eastAsia="黑体" w:cs="黑体"/>
          <w:b/>
          <w:bCs/>
          <w:lang w:val="en-US" w:eastAsia="zh-CN"/>
        </w:rPr>
        <w:t>一</w:t>
      </w:r>
      <w:r>
        <w:rPr>
          <w:rFonts w:ascii="黑体" w:hAnsi="黑体" w:eastAsia="黑体" w:cs="黑体"/>
          <w:b/>
          <w:bCs/>
          <w:lang w:eastAsia="zh-CN"/>
        </w:rPr>
        <w:t>条</w:t>
      </w:r>
      <w:r>
        <w:rPr>
          <w:rFonts w:hint="eastAsia" w:ascii="黑体" w:hAnsi="黑体" w:eastAsia="黑体" w:cs="黑体"/>
          <w:lang w:eastAsia="zh-CN"/>
        </w:rPr>
        <w:t xml:space="preserve"> </w:t>
      </w:r>
      <w:r>
        <w:rPr>
          <w:rFonts w:hint="eastAsia"/>
          <w:lang w:eastAsia="zh-CN"/>
        </w:rPr>
        <w:t>房屋所有权人不明确的、有产权纠纷的、产权人下落不明等，征收部门应当在房屋搬迁前就被征地房屋的有关事项，向公证机关办理证据保全。征收部门提出房屋安置补偿方案，报县人民政府审核同意后实施征收，并由实施单位提存安置财产。</w:t>
      </w:r>
    </w:p>
    <w:p>
      <w:pPr>
        <w:pStyle w:val="3"/>
        <w:tabs>
          <w:tab w:val="left" w:pos="0"/>
        </w:tabs>
        <w:adjustRightInd w:val="0"/>
        <w:snapToGrid w:val="0"/>
        <w:spacing w:before="240" w:beforeLines="100" w:after="240" w:afterLines="100" w:line="560" w:lineRule="exact"/>
        <w:ind w:left="0" w:firstLine="0"/>
        <w:contextualSpacing/>
        <w:jc w:val="center"/>
        <w:outlineLvl w:val="0"/>
        <w:rPr>
          <w:rFonts w:ascii="黑体" w:hAnsi="黑体" w:eastAsia="黑体" w:cs="黑体"/>
          <w:lang w:eastAsia="zh-CN"/>
        </w:rPr>
      </w:pPr>
      <w:r>
        <w:rPr>
          <w:rFonts w:ascii="黑体" w:hAnsi="黑体" w:eastAsia="黑体" w:cs="黑体"/>
          <w:lang w:eastAsia="zh-CN"/>
        </w:rPr>
        <w:t>第</w:t>
      </w:r>
      <w:r>
        <w:rPr>
          <w:rFonts w:hint="eastAsia" w:ascii="黑体" w:hAnsi="黑体" w:eastAsia="黑体" w:cs="黑体"/>
          <w:lang w:eastAsia="zh-CN"/>
        </w:rPr>
        <w:t>十二</w:t>
      </w:r>
      <w:r>
        <w:rPr>
          <w:rFonts w:ascii="黑体" w:hAnsi="黑体" w:eastAsia="黑体" w:cs="黑体"/>
          <w:lang w:eastAsia="zh-CN"/>
        </w:rPr>
        <w:t>章 附则</w:t>
      </w:r>
    </w:p>
    <w:p>
      <w:pPr>
        <w:pStyle w:val="3"/>
        <w:tabs>
          <w:tab w:val="left" w:pos="0"/>
        </w:tabs>
        <w:snapToGrid w:val="0"/>
        <w:spacing w:before="100" w:beforeAutospacing="1" w:after="100" w:afterAutospacing="1" w:line="560" w:lineRule="exact"/>
        <w:ind w:left="0" w:firstLineChars="200"/>
        <w:contextualSpacing/>
        <w:jc w:val="center"/>
        <w:rPr>
          <w:rFonts w:ascii="黑体" w:hAnsi="黑体" w:eastAsia="黑体" w:cs="黑体"/>
          <w:lang w:eastAsia="zh-CN"/>
        </w:rPr>
      </w:pPr>
    </w:p>
    <w:p>
      <w:pPr>
        <w:pStyle w:val="3"/>
        <w:snapToGrid w:val="0"/>
        <w:spacing w:before="100" w:beforeAutospacing="1" w:after="100" w:afterAutospacing="1" w:line="560" w:lineRule="exact"/>
        <w:ind w:left="0" w:firstLine="643" w:firstLineChars="200"/>
        <w:contextualSpacing/>
        <w:rPr>
          <w:lang w:eastAsia="zh-CN"/>
        </w:rPr>
      </w:pPr>
      <w:r>
        <w:rPr>
          <w:rFonts w:ascii="黑体" w:hAnsi="黑体" w:eastAsia="黑体" w:cs="黑体"/>
          <w:b/>
          <w:bCs/>
          <w:lang w:eastAsia="zh-CN"/>
        </w:rPr>
        <w:t>第</w:t>
      </w:r>
      <w:r>
        <w:rPr>
          <w:rFonts w:hint="eastAsia" w:ascii="黑体" w:hAnsi="黑体" w:eastAsia="黑体" w:cs="黑体"/>
          <w:b/>
          <w:bCs/>
          <w:lang w:eastAsia="zh-CN"/>
        </w:rPr>
        <w:t>四十</w:t>
      </w:r>
      <w:r>
        <w:rPr>
          <w:rFonts w:hint="eastAsia" w:ascii="黑体" w:hAnsi="黑体" w:eastAsia="黑体" w:cs="黑体"/>
          <w:b/>
          <w:bCs/>
          <w:lang w:val="en-US" w:eastAsia="zh-CN"/>
        </w:rPr>
        <w:t>二</w:t>
      </w:r>
      <w:r>
        <w:rPr>
          <w:rFonts w:ascii="黑体" w:hAnsi="黑体" w:eastAsia="黑体" w:cs="黑体"/>
          <w:b/>
          <w:bCs/>
          <w:lang w:eastAsia="zh-CN"/>
        </w:rPr>
        <w:t>条</w:t>
      </w:r>
      <w:r>
        <w:rPr>
          <w:rFonts w:hint="eastAsia" w:ascii="黑体" w:hAnsi="黑体" w:eastAsia="黑体" w:cs="黑体"/>
          <w:b/>
          <w:bCs/>
          <w:lang w:eastAsia="zh-CN"/>
        </w:rPr>
        <w:t xml:space="preserve"> </w:t>
      </w:r>
      <w:r>
        <w:rPr>
          <w:rFonts w:hint="eastAsia"/>
          <w:lang w:eastAsia="zh-CN"/>
        </w:rPr>
        <w:t>符合下列条件之一的，确认为本实施方案所称的住房：</w:t>
      </w:r>
    </w:p>
    <w:p>
      <w:pPr>
        <w:pStyle w:val="3"/>
        <w:numPr>
          <w:ilvl w:val="0"/>
          <w:numId w:val="1"/>
        </w:numPr>
        <w:snapToGrid w:val="0"/>
        <w:spacing w:before="100" w:beforeAutospacing="1" w:after="100" w:afterAutospacing="1" w:line="560" w:lineRule="exact"/>
        <w:ind w:left="0" w:firstLineChars="200"/>
        <w:contextualSpacing/>
        <w:rPr>
          <w:lang w:eastAsia="zh-CN"/>
        </w:rPr>
      </w:pPr>
      <w:r>
        <w:rPr>
          <w:rFonts w:hint="eastAsia"/>
          <w:lang w:eastAsia="zh-CN"/>
        </w:rPr>
        <w:t>具有完整结构的房屋；</w:t>
      </w:r>
    </w:p>
    <w:p>
      <w:pPr>
        <w:pStyle w:val="3"/>
        <w:numPr>
          <w:ilvl w:val="0"/>
          <w:numId w:val="1"/>
        </w:numPr>
        <w:snapToGrid w:val="0"/>
        <w:spacing w:before="100" w:beforeAutospacing="1" w:after="100" w:afterAutospacing="1" w:line="560" w:lineRule="exact"/>
        <w:ind w:left="0" w:firstLineChars="200"/>
        <w:contextualSpacing/>
        <w:rPr>
          <w:lang w:eastAsia="zh-CN"/>
        </w:rPr>
      </w:pPr>
      <w:r>
        <w:rPr>
          <w:rFonts w:hint="eastAsia"/>
          <w:lang w:eastAsia="zh-CN"/>
        </w:rPr>
        <w:t>具有法定审批手续的房屋；</w:t>
      </w:r>
    </w:p>
    <w:p>
      <w:pPr>
        <w:pStyle w:val="3"/>
        <w:numPr>
          <w:ilvl w:val="0"/>
          <w:numId w:val="1"/>
        </w:numPr>
        <w:snapToGrid w:val="0"/>
        <w:spacing w:before="100" w:beforeAutospacing="1" w:after="100" w:afterAutospacing="1" w:line="560" w:lineRule="exact"/>
        <w:ind w:left="0" w:firstLineChars="200"/>
        <w:contextualSpacing/>
        <w:rPr>
          <w:lang w:eastAsia="zh-CN"/>
        </w:rPr>
      </w:pPr>
      <w:r>
        <w:rPr>
          <w:rFonts w:hint="eastAsia" w:cs="仿宋_GB2312"/>
          <w:color w:val="000000" w:themeColor="text1"/>
          <w:u w:color="000000"/>
          <w:lang w:eastAsia="zh-CN"/>
          <w14:textFill>
            <w14:solidFill>
              <w14:schemeClr w14:val="tx1"/>
            </w14:solidFill>
          </w14:textFill>
        </w:rPr>
        <w:t>其他可以视同为合法的房屋。</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eastAsia="zh-CN"/>
        </w:rPr>
        <w:t>四十</w:t>
      </w:r>
      <w:r>
        <w:rPr>
          <w:rFonts w:hint="eastAsia" w:ascii="黑体" w:hAnsi="黑体" w:eastAsia="黑体" w:cs="黑体"/>
          <w:b/>
          <w:bCs/>
          <w:lang w:val="en-US" w:eastAsia="zh-CN"/>
        </w:rPr>
        <w:t>三</w:t>
      </w:r>
      <w:r>
        <w:rPr>
          <w:rFonts w:ascii="黑体" w:hAnsi="黑体" w:eastAsia="黑体" w:cs="黑体"/>
          <w:b/>
          <w:bCs/>
          <w:lang w:eastAsia="zh-CN"/>
        </w:rPr>
        <w:t>条</w:t>
      </w:r>
      <w:r>
        <w:rPr>
          <w:rFonts w:hint="eastAsia" w:ascii="黑体" w:hAnsi="黑体" w:eastAsia="黑体" w:cs="黑体"/>
          <w:b/>
          <w:bCs/>
          <w:lang w:eastAsia="zh-CN"/>
        </w:rPr>
        <w:t xml:space="preserve"> </w:t>
      </w:r>
      <w:r>
        <w:rPr>
          <w:lang w:eastAsia="zh-CN"/>
        </w:rPr>
        <w:t>本</w:t>
      </w:r>
      <w:r>
        <w:rPr>
          <w:rFonts w:hint="eastAsia"/>
          <w:lang w:eastAsia="zh-CN"/>
        </w:rPr>
        <w:t>实施</w:t>
      </w:r>
      <w:r>
        <w:rPr>
          <w:lang w:eastAsia="zh-CN"/>
        </w:rPr>
        <w:t>方案所称的安置房，是指</w:t>
      </w:r>
      <w:r>
        <w:rPr>
          <w:rFonts w:hint="eastAsia"/>
          <w:lang w:eastAsia="zh-CN"/>
        </w:rPr>
        <w:t>由</w:t>
      </w:r>
      <w:r>
        <w:rPr>
          <w:lang w:eastAsia="zh-CN"/>
        </w:rPr>
        <w:t>政府投资建设的安置房源。</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eastAsia="zh-CN"/>
        </w:rPr>
        <w:t>四十</w:t>
      </w:r>
      <w:r>
        <w:rPr>
          <w:rFonts w:hint="eastAsia" w:ascii="黑体" w:hAnsi="黑体" w:eastAsia="黑体" w:cs="黑体"/>
          <w:b/>
          <w:bCs/>
          <w:lang w:val="en-US" w:eastAsia="zh-CN"/>
        </w:rPr>
        <w:t>四</w:t>
      </w:r>
      <w:r>
        <w:rPr>
          <w:rFonts w:ascii="黑体" w:hAnsi="黑体" w:eastAsia="黑体" w:cs="黑体"/>
          <w:b/>
          <w:bCs/>
          <w:lang w:eastAsia="zh-CN"/>
        </w:rPr>
        <w:t>条</w:t>
      </w:r>
      <w:r>
        <w:rPr>
          <w:rFonts w:hint="eastAsia" w:ascii="黑体" w:hAnsi="黑体" w:eastAsia="黑体" w:cs="黑体"/>
          <w:spacing w:val="1"/>
          <w:lang w:eastAsia="zh-CN"/>
        </w:rPr>
        <w:t xml:space="preserve"> </w:t>
      </w:r>
      <w:r>
        <w:rPr>
          <w:rFonts w:hint="eastAsia" w:cs="仿宋_GB2312"/>
          <w:spacing w:val="-13"/>
          <w:kern w:val="2"/>
          <w:lang w:val="zh-CN" w:eastAsia="zh-CN" w:bidi="zh-CN"/>
        </w:rPr>
        <w:t>本方案涉及房地产评估价的评估时点（评估基准日）</w:t>
      </w:r>
      <w:r>
        <w:rPr>
          <w:rFonts w:hint="eastAsia"/>
          <w:lang w:val="zh-CN" w:eastAsia="zh-CN"/>
        </w:rPr>
        <w:t>为</w:t>
      </w:r>
      <w:r>
        <w:rPr>
          <w:rFonts w:hint="eastAsia"/>
          <w:lang w:eastAsia="zh-CN"/>
        </w:rPr>
        <w:t>本实施方案批复之日</w:t>
      </w:r>
      <w:r>
        <w:rPr>
          <w:rFonts w:hint="eastAsia"/>
          <w:lang w:val="zh-CN" w:eastAsia="zh-CN"/>
        </w:rPr>
        <w:t>。</w:t>
      </w:r>
    </w:p>
    <w:p>
      <w:pPr>
        <w:pStyle w:val="3"/>
        <w:snapToGrid w:val="0"/>
        <w:spacing w:before="100" w:beforeAutospacing="1" w:after="100" w:afterAutospacing="1" w:line="560" w:lineRule="exact"/>
        <w:ind w:left="0" w:firstLine="643" w:firstLineChars="200"/>
        <w:contextualSpacing/>
        <w:jc w:val="both"/>
        <w:rPr>
          <w:lang w:eastAsia="zh-CN"/>
        </w:rPr>
      </w:pPr>
      <w:r>
        <w:rPr>
          <w:rFonts w:ascii="黑体" w:hAnsi="黑体" w:eastAsia="黑体" w:cs="黑体"/>
          <w:b/>
          <w:bCs/>
          <w:lang w:eastAsia="zh-CN"/>
        </w:rPr>
        <w:t>第</w:t>
      </w:r>
      <w:r>
        <w:rPr>
          <w:rFonts w:hint="eastAsia" w:ascii="黑体" w:hAnsi="黑体" w:eastAsia="黑体" w:cs="黑体"/>
          <w:b/>
          <w:bCs/>
          <w:lang w:eastAsia="zh-CN"/>
        </w:rPr>
        <w:t>四十</w:t>
      </w:r>
      <w:r>
        <w:rPr>
          <w:rFonts w:hint="eastAsia" w:ascii="黑体" w:hAnsi="黑体" w:eastAsia="黑体" w:cs="黑体"/>
          <w:b/>
          <w:bCs/>
          <w:lang w:val="en-US" w:eastAsia="zh-CN"/>
        </w:rPr>
        <w:t>五</w:t>
      </w:r>
      <w:r>
        <w:rPr>
          <w:rFonts w:ascii="黑体" w:hAnsi="黑体" w:eastAsia="黑体" w:cs="黑体"/>
          <w:b/>
          <w:bCs/>
          <w:lang w:eastAsia="zh-CN"/>
        </w:rPr>
        <w:t>条</w:t>
      </w:r>
      <w:r>
        <w:rPr>
          <w:rFonts w:hint="eastAsia" w:ascii="黑体" w:hAnsi="黑体" w:eastAsia="黑体" w:cs="黑体"/>
          <w:lang w:eastAsia="zh-CN"/>
        </w:rPr>
        <w:t xml:space="preserve"> </w:t>
      </w:r>
      <w:r>
        <w:rPr>
          <w:lang w:eastAsia="zh-CN"/>
        </w:rPr>
        <w:t>本</w:t>
      </w:r>
      <w:r>
        <w:rPr>
          <w:rFonts w:hint="eastAsia"/>
          <w:lang w:eastAsia="zh-CN"/>
        </w:rPr>
        <w:t>实施</w:t>
      </w:r>
      <w:r>
        <w:rPr>
          <w:lang w:eastAsia="zh-CN"/>
        </w:rPr>
        <w:t>方案涉及的补偿协议签订期限、房屋腾空截止时间，均以实施单位根据项目进展情况确定公布的时间为准</w:t>
      </w:r>
      <w:r>
        <w:rPr>
          <w:rFonts w:hint="eastAsia"/>
          <w:lang w:eastAsia="zh-CN"/>
        </w:rPr>
        <w:t>。</w:t>
      </w:r>
      <w:r>
        <w:t>逾期签订协议或腾空房屋的被</w:t>
      </w:r>
      <w:r>
        <w:rPr>
          <w:rFonts w:hint="eastAsia"/>
          <w:lang w:val="en-US" w:eastAsia="zh-CN"/>
        </w:rPr>
        <w:t>搬迁</w:t>
      </w:r>
      <w:r>
        <w:t>人，不享受本方案规定的相关奖励政策。</w:t>
      </w:r>
    </w:p>
    <w:p>
      <w:pPr>
        <w:pStyle w:val="3"/>
        <w:snapToGrid w:val="0"/>
        <w:spacing w:before="100" w:beforeAutospacing="1" w:after="100" w:afterAutospacing="1" w:line="560" w:lineRule="exact"/>
        <w:ind w:left="0" w:firstLine="643" w:firstLineChars="200"/>
        <w:contextualSpacing/>
        <w:jc w:val="both"/>
        <w:rPr>
          <w:rFonts w:hint="eastAsia" w:ascii="仿宋_GB2312" w:hAnsi="仿宋_GB2312" w:eastAsia="仿宋_GB2312" w:cs="仿宋_GB2312"/>
          <w:sz w:val="32"/>
          <w:szCs w:val="32"/>
          <w:lang w:val="en-US" w:eastAsia="zh-CN"/>
        </w:rPr>
      </w:pPr>
      <w:r>
        <w:rPr>
          <w:rFonts w:ascii="黑体" w:hAnsi="黑体" w:eastAsia="黑体" w:cs="黑体"/>
          <w:b/>
          <w:bCs/>
          <w:lang w:eastAsia="zh-CN"/>
        </w:rPr>
        <w:t>第</w:t>
      </w:r>
      <w:r>
        <w:rPr>
          <w:rFonts w:hint="eastAsia" w:ascii="黑体" w:hAnsi="黑体" w:eastAsia="黑体" w:cs="黑体"/>
          <w:b/>
          <w:bCs/>
          <w:lang w:val="en-US" w:eastAsia="zh-CN"/>
        </w:rPr>
        <w:t>四十六</w:t>
      </w:r>
      <w:r>
        <w:rPr>
          <w:rFonts w:ascii="黑体" w:hAnsi="黑体" w:eastAsia="黑体" w:cs="黑体"/>
          <w:b/>
          <w:bCs/>
          <w:lang w:eastAsia="zh-CN"/>
        </w:rPr>
        <w:t>条</w:t>
      </w:r>
      <w:r>
        <w:rPr>
          <w:rFonts w:hint="eastAsia" w:ascii="黑体" w:hAnsi="黑体" w:eastAsia="黑体" w:cs="黑体"/>
          <w:lang w:eastAsia="zh-CN"/>
        </w:rPr>
        <w:t xml:space="preserve"> </w:t>
      </w:r>
      <w:r>
        <w:rPr>
          <w:lang w:eastAsia="zh-CN"/>
        </w:rPr>
        <w:t>本</w:t>
      </w:r>
      <w:r>
        <w:rPr>
          <w:rFonts w:hint="eastAsia"/>
          <w:lang w:eastAsia="zh-CN"/>
        </w:rPr>
        <w:t>实施</w:t>
      </w:r>
      <w:r>
        <w:rPr>
          <w:lang w:eastAsia="zh-CN"/>
        </w:rPr>
        <w:t>方案未涉及事项均按相关</w:t>
      </w:r>
      <w:r>
        <w:rPr>
          <w:rFonts w:hint="eastAsia"/>
          <w:lang w:eastAsia="zh-CN"/>
        </w:rPr>
        <w:t>法规</w:t>
      </w:r>
      <w:r>
        <w:rPr>
          <w:lang w:eastAsia="zh-CN"/>
        </w:rPr>
        <w:t>政策</w:t>
      </w:r>
      <w:r>
        <w:rPr>
          <w:rFonts w:hint="eastAsia"/>
          <w:lang w:eastAsia="zh-CN"/>
        </w:rPr>
        <w:t>、技术文件</w:t>
      </w:r>
      <w:r>
        <w:rPr>
          <w:lang w:eastAsia="zh-CN"/>
        </w:rPr>
        <w:t>执行。</w:t>
      </w:r>
      <w:r>
        <w:rPr>
          <w:rFonts w:hint="eastAsia" w:ascii="仿宋_GB2312" w:hAnsi="仿宋_GB2312" w:eastAsia="仿宋_GB2312" w:cs="仿宋_GB2312"/>
          <w:sz w:val="32"/>
          <w:szCs w:val="32"/>
          <w:lang w:eastAsia="zh-CN"/>
        </w:rPr>
        <w:t>本方案自批准公布之日起实施。</w:t>
      </w:r>
    </w:p>
    <w:sectPr>
      <w:footerReference r:id="rId3" w:type="default"/>
      <w:footerReference r:id="rId4" w:type="even"/>
      <w:pgSz w:w="11910" w:h="16840"/>
      <w:pgMar w:top="1580" w:right="1680" w:bottom="1140" w:left="1480" w:header="0" w:footer="95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6078220</wp:posOffset>
              </wp:positionH>
              <wp:positionV relativeFrom="page">
                <wp:posOffset>9946005</wp:posOffset>
              </wp:positionV>
              <wp:extent cx="558800" cy="2032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58800" cy="203200"/>
                      </a:xfrm>
                      <a:prstGeom prst="rect">
                        <a:avLst/>
                      </a:prstGeom>
                      <a:noFill/>
                      <a:ln w="9525">
                        <a:noFill/>
                      </a:ln>
                    </wps:spPr>
                    <wps:txbx>
                      <w:txbxContent>
                        <w:p>
                          <w:pPr>
                            <w:spacing w:line="300" w:lineRule="exact"/>
                            <w:ind w:left="20"/>
                            <w:rPr>
                              <w:rFonts w:ascii="宋体" w:hAnsi="宋体" w:eastAsia="宋体" w:cs="宋体"/>
                              <w:sz w:val="28"/>
                              <w:szCs w:val="28"/>
                            </w:rPr>
                          </w:pPr>
                          <w:r>
                            <w:rPr>
                              <w:rFonts w:ascii="宋体"/>
                              <w:sz w:val="28"/>
                            </w:rPr>
                            <w:t>-</w:t>
                          </w:r>
                          <w:r>
                            <w:fldChar w:fldCharType="begin"/>
                          </w:r>
                          <w:r>
                            <w:rPr>
                              <w:rFonts w:ascii="宋体"/>
                              <w:sz w:val="28"/>
                            </w:rPr>
                            <w:instrText xml:space="preserve"> PAGE </w:instrText>
                          </w:r>
                          <w:r>
                            <w:fldChar w:fldCharType="separate"/>
                          </w:r>
                          <w:r>
                            <w:rPr>
                              <w:rFonts w:ascii="宋体"/>
                              <w:sz w:val="28"/>
                            </w:rPr>
                            <w:t>3</w:t>
                          </w:r>
                          <w:r>
                            <w:fldChar w:fldCharType="end"/>
                          </w:r>
                          <w:r>
                            <w:rPr>
                              <w:rFonts w:ascii="宋体"/>
                              <w:sz w:val="28"/>
                            </w:rPr>
                            <w:t>-</w:t>
                          </w:r>
                        </w:p>
                      </w:txbxContent>
                    </wps:txbx>
                    <wps:bodyPr lIns="0" tIns="0" rIns="0" bIns="0" upright="1"/>
                  </wps:wsp>
                </a:graphicData>
              </a:graphic>
            </wp:anchor>
          </w:drawing>
        </mc:Choice>
        <mc:Fallback>
          <w:pict>
            <v:shape id="文本框 1025" o:spid="_x0000_s1026" o:spt="202" type="#_x0000_t202" style="position:absolute;left:0pt;margin-left:478.6pt;margin-top:783.15pt;height:16pt;width:44pt;mso-position-horizontal-relative:page;mso-position-vertical-relative:page;z-index:-251656192;mso-width-relative:page;mso-height-relative:page;" filled="f" stroked="f" coordsize="21600,21600" o:gfxdata="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B6e5NsAAAAOAQAADwAAAAAAAAABACAAAAAiAAAAZHJzL2Rvd25y&#10;ZXYueG1sUEsBAhQAFAAAAAgAh07iQMTHs6/CAQAAfQMAAA4AAAAAAAAAAQAgAAAAKgEAAGRycy9l&#10;Mm9Eb2MueG1sUEsFBgAAAAAGAAYAWQEAAF4FAAAAAA==&#10;">
              <v:fill on="f" focussize="0,0"/>
              <v:stroke on="f"/>
              <v:imagedata o:title=""/>
              <o:lock v:ext="edit" aspectratio="f"/>
              <v:textbox inset="0mm,0mm,0mm,0mm">
                <w:txbxContent>
                  <w:p>
                    <w:pPr>
                      <w:spacing w:line="300" w:lineRule="exact"/>
                      <w:ind w:left="20"/>
                      <w:rPr>
                        <w:rFonts w:ascii="宋体" w:hAnsi="宋体" w:eastAsia="宋体" w:cs="宋体"/>
                        <w:sz w:val="28"/>
                        <w:szCs w:val="28"/>
                      </w:rPr>
                    </w:pPr>
                    <w:r>
                      <w:rPr>
                        <w:rFonts w:ascii="宋体"/>
                        <w:sz w:val="28"/>
                      </w:rPr>
                      <w:t>-</w:t>
                    </w:r>
                    <w:r>
                      <w:fldChar w:fldCharType="begin"/>
                    </w:r>
                    <w:r>
                      <w:rPr>
                        <w:rFonts w:ascii="宋体"/>
                        <w:sz w:val="28"/>
                      </w:rPr>
                      <w:instrText xml:space="preserve"> PAGE </w:instrText>
                    </w:r>
                    <w:r>
                      <w:fldChar w:fldCharType="separate"/>
                    </w:r>
                    <w:r>
                      <w:rPr>
                        <w:rFonts w:ascii="宋体"/>
                        <w:sz w:val="28"/>
                      </w:rPr>
                      <w:t>3</w:t>
                    </w:r>
                    <w:r>
                      <w:fldChar w:fldCharType="end"/>
                    </w:r>
                    <w:r>
                      <w:rPr>
                        <w:rFonts w:asci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995045</wp:posOffset>
              </wp:positionH>
              <wp:positionV relativeFrom="page">
                <wp:posOffset>9946005</wp:posOffset>
              </wp:positionV>
              <wp:extent cx="558800" cy="2032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558800" cy="203200"/>
                      </a:xfrm>
                      <a:prstGeom prst="rect">
                        <a:avLst/>
                      </a:prstGeom>
                      <a:noFill/>
                      <a:ln w="9525">
                        <a:noFill/>
                      </a:ln>
                    </wps:spPr>
                    <wps:txbx>
                      <w:txbxContent>
                        <w:p>
                          <w:pPr>
                            <w:spacing w:line="300" w:lineRule="exact"/>
                            <w:ind w:left="20"/>
                            <w:rPr>
                              <w:rFonts w:ascii="宋体" w:hAnsi="宋体" w:eastAsia="宋体" w:cs="宋体"/>
                              <w:sz w:val="28"/>
                              <w:szCs w:val="28"/>
                            </w:rPr>
                          </w:pPr>
                          <w:r>
                            <w:rPr>
                              <w:rFonts w:ascii="宋体"/>
                              <w:sz w:val="28"/>
                            </w:rPr>
                            <w:t>-</w:t>
                          </w:r>
                          <w:r>
                            <w:fldChar w:fldCharType="begin"/>
                          </w:r>
                          <w:r>
                            <w:rPr>
                              <w:rFonts w:ascii="宋体"/>
                              <w:sz w:val="28"/>
                            </w:rPr>
                            <w:instrText xml:space="preserve"> PAGE </w:instrText>
                          </w:r>
                          <w:r>
                            <w:fldChar w:fldCharType="separate"/>
                          </w:r>
                          <w:r>
                            <w:rPr>
                              <w:rFonts w:ascii="宋体"/>
                              <w:sz w:val="28"/>
                            </w:rPr>
                            <w:t>4</w:t>
                          </w:r>
                          <w:r>
                            <w:fldChar w:fldCharType="end"/>
                          </w:r>
                          <w:r>
                            <w:rPr>
                              <w:rFonts w:ascii="宋体"/>
                              <w:sz w:val="28"/>
                            </w:rPr>
                            <w:t>-</w:t>
                          </w:r>
                        </w:p>
                      </w:txbxContent>
                    </wps:txbx>
                    <wps:bodyPr lIns="0" tIns="0" rIns="0" bIns="0" upright="1"/>
                  </wps:wsp>
                </a:graphicData>
              </a:graphic>
            </wp:anchor>
          </w:drawing>
        </mc:Choice>
        <mc:Fallback>
          <w:pict>
            <v:shape id="文本框 1026" o:spid="_x0000_s1026" o:spt="202" type="#_x0000_t202" style="position:absolute;left:0pt;margin-left:78.35pt;margin-top:783.15pt;height:16pt;width:44pt;mso-position-horizontal-relative:page;mso-position-vertical-relative:page;z-index:-251657216;mso-width-relative:page;mso-height-relative:page;" filled="f" stroked="f" coordsize="21600,21600" o:gfxdata="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JRkXNoAAAANAQAADwAAAAAAAAABACAAAAAiAAAAZHJzL2Rvd25y&#10;ZXYueG1sUEsBAhQAFAAAAAgAh07iQEuWBxHDAQAAfQMAAA4AAAAAAAAAAQAgAAAAKQEAAGRycy9l&#10;Mm9Eb2MueG1sUEsFBgAAAAAGAAYAWQEAAF4FAAAAAA==&#10;">
              <v:fill on="f" focussize="0,0"/>
              <v:stroke on="f"/>
              <v:imagedata o:title=""/>
              <o:lock v:ext="edit" aspectratio="f"/>
              <v:textbox inset="0mm,0mm,0mm,0mm">
                <w:txbxContent>
                  <w:p>
                    <w:pPr>
                      <w:spacing w:line="300" w:lineRule="exact"/>
                      <w:ind w:left="20"/>
                      <w:rPr>
                        <w:rFonts w:ascii="宋体" w:hAnsi="宋体" w:eastAsia="宋体" w:cs="宋体"/>
                        <w:sz w:val="28"/>
                        <w:szCs w:val="28"/>
                      </w:rPr>
                    </w:pPr>
                    <w:r>
                      <w:rPr>
                        <w:rFonts w:ascii="宋体"/>
                        <w:sz w:val="28"/>
                      </w:rPr>
                      <w:t>-</w:t>
                    </w:r>
                    <w:r>
                      <w:fldChar w:fldCharType="begin"/>
                    </w:r>
                    <w:r>
                      <w:rPr>
                        <w:rFonts w:ascii="宋体"/>
                        <w:sz w:val="28"/>
                      </w:rPr>
                      <w:instrText xml:space="preserve"> PAGE </w:instrText>
                    </w:r>
                    <w:r>
                      <w:fldChar w:fldCharType="separate"/>
                    </w:r>
                    <w:r>
                      <w:rPr>
                        <w:rFonts w:ascii="宋体"/>
                        <w:sz w:val="28"/>
                      </w:rPr>
                      <w:t>4</w:t>
                    </w:r>
                    <w:r>
                      <w:fldChar w:fldCharType="end"/>
                    </w:r>
                    <w:r>
                      <w:rPr>
                        <w:rFonts w:ascii="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072F4"/>
    <w:multiLevelType w:val="singleLevel"/>
    <w:tmpl w:val="B3F072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NTIyYTFiYTlkYTcwZDBhMTU5MTJkODI0MjQ5YjQifQ=="/>
  </w:docVars>
  <w:rsids>
    <w:rsidRoot w:val="00CF03EB"/>
    <w:rsid w:val="00004CB2"/>
    <w:rsid w:val="0001169F"/>
    <w:rsid w:val="000117F1"/>
    <w:rsid w:val="00011ED4"/>
    <w:rsid w:val="000122C1"/>
    <w:rsid w:val="0001470E"/>
    <w:rsid w:val="00017D10"/>
    <w:rsid w:val="00024418"/>
    <w:rsid w:val="00026641"/>
    <w:rsid w:val="00031A9F"/>
    <w:rsid w:val="00034C80"/>
    <w:rsid w:val="000454CB"/>
    <w:rsid w:val="00046F55"/>
    <w:rsid w:val="000522BC"/>
    <w:rsid w:val="0006590A"/>
    <w:rsid w:val="00065C19"/>
    <w:rsid w:val="000665B6"/>
    <w:rsid w:val="000811B7"/>
    <w:rsid w:val="00082F8D"/>
    <w:rsid w:val="00090824"/>
    <w:rsid w:val="00090C57"/>
    <w:rsid w:val="00093642"/>
    <w:rsid w:val="00094512"/>
    <w:rsid w:val="000A1F7C"/>
    <w:rsid w:val="000A6B9C"/>
    <w:rsid w:val="000B6651"/>
    <w:rsid w:val="000B6D0C"/>
    <w:rsid w:val="000B754A"/>
    <w:rsid w:val="000B7EB4"/>
    <w:rsid w:val="000C030F"/>
    <w:rsid w:val="000C11DD"/>
    <w:rsid w:val="000C524B"/>
    <w:rsid w:val="000C6F7C"/>
    <w:rsid w:val="000D3BC8"/>
    <w:rsid w:val="00100AFE"/>
    <w:rsid w:val="00104626"/>
    <w:rsid w:val="00120278"/>
    <w:rsid w:val="00122D47"/>
    <w:rsid w:val="00126661"/>
    <w:rsid w:val="00131E87"/>
    <w:rsid w:val="0013331B"/>
    <w:rsid w:val="00143759"/>
    <w:rsid w:val="001516AB"/>
    <w:rsid w:val="00151A13"/>
    <w:rsid w:val="00151AB5"/>
    <w:rsid w:val="001570AA"/>
    <w:rsid w:val="001571AB"/>
    <w:rsid w:val="0016016E"/>
    <w:rsid w:val="001638BB"/>
    <w:rsid w:val="00163B9F"/>
    <w:rsid w:val="00164560"/>
    <w:rsid w:val="00165965"/>
    <w:rsid w:val="00171EC6"/>
    <w:rsid w:val="00173F30"/>
    <w:rsid w:val="001776F9"/>
    <w:rsid w:val="00181D68"/>
    <w:rsid w:val="00184AC5"/>
    <w:rsid w:val="00184B19"/>
    <w:rsid w:val="00184B69"/>
    <w:rsid w:val="0018698F"/>
    <w:rsid w:val="001939C5"/>
    <w:rsid w:val="00194A00"/>
    <w:rsid w:val="00196460"/>
    <w:rsid w:val="00196E3D"/>
    <w:rsid w:val="001A6D6D"/>
    <w:rsid w:val="001A7DE8"/>
    <w:rsid w:val="001B5829"/>
    <w:rsid w:val="001C478F"/>
    <w:rsid w:val="001C620F"/>
    <w:rsid w:val="001C7141"/>
    <w:rsid w:val="001E0F85"/>
    <w:rsid w:val="001F0025"/>
    <w:rsid w:val="001F07AB"/>
    <w:rsid w:val="001F0C77"/>
    <w:rsid w:val="001F2C67"/>
    <w:rsid w:val="001F5772"/>
    <w:rsid w:val="00203AEA"/>
    <w:rsid w:val="0021084C"/>
    <w:rsid w:val="00212B1D"/>
    <w:rsid w:val="0021447D"/>
    <w:rsid w:val="002268CD"/>
    <w:rsid w:val="00230F01"/>
    <w:rsid w:val="002336AD"/>
    <w:rsid w:val="00237095"/>
    <w:rsid w:val="002376AD"/>
    <w:rsid w:val="0023790F"/>
    <w:rsid w:val="002423CA"/>
    <w:rsid w:val="00246324"/>
    <w:rsid w:val="002551C8"/>
    <w:rsid w:val="0026212A"/>
    <w:rsid w:val="00266B4C"/>
    <w:rsid w:val="0027414E"/>
    <w:rsid w:val="00274434"/>
    <w:rsid w:val="00276096"/>
    <w:rsid w:val="00276CDD"/>
    <w:rsid w:val="00281384"/>
    <w:rsid w:val="00293048"/>
    <w:rsid w:val="002A1CA8"/>
    <w:rsid w:val="002A2990"/>
    <w:rsid w:val="002A4562"/>
    <w:rsid w:val="002B51C6"/>
    <w:rsid w:val="002C0A2B"/>
    <w:rsid w:val="002C1691"/>
    <w:rsid w:val="002C4161"/>
    <w:rsid w:val="002C522F"/>
    <w:rsid w:val="002C6183"/>
    <w:rsid w:val="002D0241"/>
    <w:rsid w:val="002D3E77"/>
    <w:rsid w:val="002E0A9A"/>
    <w:rsid w:val="002E110B"/>
    <w:rsid w:val="002E23E1"/>
    <w:rsid w:val="002F7E16"/>
    <w:rsid w:val="00300E96"/>
    <w:rsid w:val="003068CD"/>
    <w:rsid w:val="00313454"/>
    <w:rsid w:val="0032513A"/>
    <w:rsid w:val="003258C5"/>
    <w:rsid w:val="00337232"/>
    <w:rsid w:val="0034112E"/>
    <w:rsid w:val="003439CD"/>
    <w:rsid w:val="00343A39"/>
    <w:rsid w:val="00350ED6"/>
    <w:rsid w:val="0035170B"/>
    <w:rsid w:val="00352049"/>
    <w:rsid w:val="003525E0"/>
    <w:rsid w:val="00355D6A"/>
    <w:rsid w:val="003648D9"/>
    <w:rsid w:val="00370112"/>
    <w:rsid w:val="003738F7"/>
    <w:rsid w:val="00373F65"/>
    <w:rsid w:val="003758B9"/>
    <w:rsid w:val="0037728F"/>
    <w:rsid w:val="0038266C"/>
    <w:rsid w:val="003828E8"/>
    <w:rsid w:val="00382F50"/>
    <w:rsid w:val="003A0695"/>
    <w:rsid w:val="003B34D2"/>
    <w:rsid w:val="003B3A09"/>
    <w:rsid w:val="003B3D21"/>
    <w:rsid w:val="003B5C1B"/>
    <w:rsid w:val="003B7796"/>
    <w:rsid w:val="003C0889"/>
    <w:rsid w:val="003C0DD7"/>
    <w:rsid w:val="003C6ECF"/>
    <w:rsid w:val="003D0DB7"/>
    <w:rsid w:val="003D58CA"/>
    <w:rsid w:val="003E6ADC"/>
    <w:rsid w:val="003F2C86"/>
    <w:rsid w:val="00400DCF"/>
    <w:rsid w:val="0040436B"/>
    <w:rsid w:val="00415B21"/>
    <w:rsid w:val="0042013F"/>
    <w:rsid w:val="00420AAD"/>
    <w:rsid w:val="00425615"/>
    <w:rsid w:val="00434B8C"/>
    <w:rsid w:val="004361E0"/>
    <w:rsid w:val="004363CF"/>
    <w:rsid w:val="004375A2"/>
    <w:rsid w:val="004401F6"/>
    <w:rsid w:val="004549AD"/>
    <w:rsid w:val="00457EE5"/>
    <w:rsid w:val="004617E4"/>
    <w:rsid w:val="00461F77"/>
    <w:rsid w:val="004730DE"/>
    <w:rsid w:val="004757D1"/>
    <w:rsid w:val="004823CC"/>
    <w:rsid w:val="004825A6"/>
    <w:rsid w:val="00482657"/>
    <w:rsid w:val="00482AEF"/>
    <w:rsid w:val="00484BB0"/>
    <w:rsid w:val="00486F73"/>
    <w:rsid w:val="0049139D"/>
    <w:rsid w:val="00491524"/>
    <w:rsid w:val="00492A12"/>
    <w:rsid w:val="004A4BF4"/>
    <w:rsid w:val="004A7541"/>
    <w:rsid w:val="004A7AB5"/>
    <w:rsid w:val="004B7912"/>
    <w:rsid w:val="004C414F"/>
    <w:rsid w:val="004D22D7"/>
    <w:rsid w:val="004D3F0D"/>
    <w:rsid w:val="004D4535"/>
    <w:rsid w:val="004D5FAF"/>
    <w:rsid w:val="004E0F7A"/>
    <w:rsid w:val="004E1279"/>
    <w:rsid w:val="004E284F"/>
    <w:rsid w:val="004F508B"/>
    <w:rsid w:val="004F741C"/>
    <w:rsid w:val="00517DC0"/>
    <w:rsid w:val="005269EF"/>
    <w:rsid w:val="00531D9E"/>
    <w:rsid w:val="00541EF8"/>
    <w:rsid w:val="00542EEC"/>
    <w:rsid w:val="00546B33"/>
    <w:rsid w:val="00547B43"/>
    <w:rsid w:val="00553E95"/>
    <w:rsid w:val="0056710E"/>
    <w:rsid w:val="00567D44"/>
    <w:rsid w:val="00567D65"/>
    <w:rsid w:val="0057416B"/>
    <w:rsid w:val="00581BCA"/>
    <w:rsid w:val="00586259"/>
    <w:rsid w:val="00592B06"/>
    <w:rsid w:val="00594B29"/>
    <w:rsid w:val="00597DB0"/>
    <w:rsid w:val="005A0E5A"/>
    <w:rsid w:val="005A2285"/>
    <w:rsid w:val="005A6F6B"/>
    <w:rsid w:val="005B45CC"/>
    <w:rsid w:val="005C54F2"/>
    <w:rsid w:val="005D0602"/>
    <w:rsid w:val="005D31FB"/>
    <w:rsid w:val="005D322A"/>
    <w:rsid w:val="005D4A0C"/>
    <w:rsid w:val="005D534D"/>
    <w:rsid w:val="005D5419"/>
    <w:rsid w:val="005E12DA"/>
    <w:rsid w:val="005E28A4"/>
    <w:rsid w:val="005E2D1C"/>
    <w:rsid w:val="005F2A24"/>
    <w:rsid w:val="005F46BB"/>
    <w:rsid w:val="005F4C8A"/>
    <w:rsid w:val="005F5210"/>
    <w:rsid w:val="00600D49"/>
    <w:rsid w:val="00602345"/>
    <w:rsid w:val="00602349"/>
    <w:rsid w:val="00603451"/>
    <w:rsid w:val="006047CE"/>
    <w:rsid w:val="00612377"/>
    <w:rsid w:val="006131B0"/>
    <w:rsid w:val="00621927"/>
    <w:rsid w:val="0062252B"/>
    <w:rsid w:val="006413A8"/>
    <w:rsid w:val="0065097A"/>
    <w:rsid w:val="0065224B"/>
    <w:rsid w:val="00655C24"/>
    <w:rsid w:val="00662134"/>
    <w:rsid w:val="00663D4C"/>
    <w:rsid w:val="00667367"/>
    <w:rsid w:val="00670245"/>
    <w:rsid w:val="00670593"/>
    <w:rsid w:val="0067161F"/>
    <w:rsid w:val="006741E6"/>
    <w:rsid w:val="00674B0F"/>
    <w:rsid w:val="006912E2"/>
    <w:rsid w:val="00697E90"/>
    <w:rsid w:val="006A2F90"/>
    <w:rsid w:val="006A6C83"/>
    <w:rsid w:val="006B64B2"/>
    <w:rsid w:val="006B6D94"/>
    <w:rsid w:val="006D7E74"/>
    <w:rsid w:val="006E2D5A"/>
    <w:rsid w:val="006F24C1"/>
    <w:rsid w:val="006F4FCB"/>
    <w:rsid w:val="006F6E62"/>
    <w:rsid w:val="00700ADE"/>
    <w:rsid w:val="007072E6"/>
    <w:rsid w:val="007105AB"/>
    <w:rsid w:val="007136C5"/>
    <w:rsid w:val="007172BB"/>
    <w:rsid w:val="00727F97"/>
    <w:rsid w:val="007349C8"/>
    <w:rsid w:val="00745EC5"/>
    <w:rsid w:val="00746E63"/>
    <w:rsid w:val="00781BE9"/>
    <w:rsid w:val="00784E68"/>
    <w:rsid w:val="007930D8"/>
    <w:rsid w:val="00794701"/>
    <w:rsid w:val="007A0656"/>
    <w:rsid w:val="007A0A15"/>
    <w:rsid w:val="007A0E61"/>
    <w:rsid w:val="007A5097"/>
    <w:rsid w:val="007B234C"/>
    <w:rsid w:val="007B3558"/>
    <w:rsid w:val="007B45C6"/>
    <w:rsid w:val="007B61F2"/>
    <w:rsid w:val="007B7ECF"/>
    <w:rsid w:val="007C065D"/>
    <w:rsid w:val="007C20A4"/>
    <w:rsid w:val="007C39A5"/>
    <w:rsid w:val="007C42CB"/>
    <w:rsid w:val="007C5DA6"/>
    <w:rsid w:val="007C7C82"/>
    <w:rsid w:val="007D2732"/>
    <w:rsid w:val="007D3721"/>
    <w:rsid w:val="007D7991"/>
    <w:rsid w:val="007E2A87"/>
    <w:rsid w:val="007E6976"/>
    <w:rsid w:val="008009FC"/>
    <w:rsid w:val="00804A9A"/>
    <w:rsid w:val="00804AC0"/>
    <w:rsid w:val="00807BF8"/>
    <w:rsid w:val="0082645E"/>
    <w:rsid w:val="008309E3"/>
    <w:rsid w:val="008318B1"/>
    <w:rsid w:val="00831EAE"/>
    <w:rsid w:val="00833C6E"/>
    <w:rsid w:val="0083761E"/>
    <w:rsid w:val="00842B5C"/>
    <w:rsid w:val="008439CA"/>
    <w:rsid w:val="0084678C"/>
    <w:rsid w:val="0085025D"/>
    <w:rsid w:val="008506B5"/>
    <w:rsid w:val="00853C21"/>
    <w:rsid w:val="008540CE"/>
    <w:rsid w:val="00855F37"/>
    <w:rsid w:val="008613A8"/>
    <w:rsid w:val="00867DBE"/>
    <w:rsid w:val="0088094C"/>
    <w:rsid w:val="00884795"/>
    <w:rsid w:val="008860F9"/>
    <w:rsid w:val="00893888"/>
    <w:rsid w:val="008952AD"/>
    <w:rsid w:val="00895848"/>
    <w:rsid w:val="008A598F"/>
    <w:rsid w:val="008A5A0C"/>
    <w:rsid w:val="008B6092"/>
    <w:rsid w:val="008B79F9"/>
    <w:rsid w:val="008C1B30"/>
    <w:rsid w:val="008C7B9C"/>
    <w:rsid w:val="008E48EB"/>
    <w:rsid w:val="008E67AB"/>
    <w:rsid w:val="008E70CC"/>
    <w:rsid w:val="008F441B"/>
    <w:rsid w:val="008F528F"/>
    <w:rsid w:val="008F6232"/>
    <w:rsid w:val="00900123"/>
    <w:rsid w:val="0090352A"/>
    <w:rsid w:val="009047EF"/>
    <w:rsid w:val="009053C8"/>
    <w:rsid w:val="009073B1"/>
    <w:rsid w:val="00911F41"/>
    <w:rsid w:val="009235BC"/>
    <w:rsid w:val="0093090A"/>
    <w:rsid w:val="00937004"/>
    <w:rsid w:val="00937A05"/>
    <w:rsid w:val="00940496"/>
    <w:rsid w:val="00940E5F"/>
    <w:rsid w:val="0095395B"/>
    <w:rsid w:val="0095420C"/>
    <w:rsid w:val="009544D4"/>
    <w:rsid w:val="00955EE6"/>
    <w:rsid w:val="009624ED"/>
    <w:rsid w:val="009656CB"/>
    <w:rsid w:val="00965BED"/>
    <w:rsid w:val="009671CD"/>
    <w:rsid w:val="00967C56"/>
    <w:rsid w:val="009777C3"/>
    <w:rsid w:val="009846A8"/>
    <w:rsid w:val="00985AEB"/>
    <w:rsid w:val="00991D53"/>
    <w:rsid w:val="0099350D"/>
    <w:rsid w:val="00995B73"/>
    <w:rsid w:val="009A59C0"/>
    <w:rsid w:val="009A75EB"/>
    <w:rsid w:val="009B126C"/>
    <w:rsid w:val="009B73AA"/>
    <w:rsid w:val="009C42DF"/>
    <w:rsid w:val="009D0BA3"/>
    <w:rsid w:val="009D3085"/>
    <w:rsid w:val="009D37B3"/>
    <w:rsid w:val="009D3C22"/>
    <w:rsid w:val="009E29F9"/>
    <w:rsid w:val="009E2C70"/>
    <w:rsid w:val="009E7A5C"/>
    <w:rsid w:val="009F21AC"/>
    <w:rsid w:val="009F4428"/>
    <w:rsid w:val="009F791A"/>
    <w:rsid w:val="00A12903"/>
    <w:rsid w:val="00A16126"/>
    <w:rsid w:val="00A235B1"/>
    <w:rsid w:val="00A249E9"/>
    <w:rsid w:val="00A27745"/>
    <w:rsid w:val="00A35735"/>
    <w:rsid w:val="00A36C90"/>
    <w:rsid w:val="00A50F2F"/>
    <w:rsid w:val="00A52B35"/>
    <w:rsid w:val="00A53770"/>
    <w:rsid w:val="00A55B3C"/>
    <w:rsid w:val="00A55C66"/>
    <w:rsid w:val="00A60000"/>
    <w:rsid w:val="00A61486"/>
    <w:rsid w:val="00A61D8D"/>
    <w:rsid w:val="00A62AE5"/>
    <w:rsid w:val="00A671DE"/>
    <w:rsid w:val="00A71066"/>
    <w:rsid w:val="00A7164D"/>
    <w:rsid w:val="00A74B36"/>
    <w:rsid w:val="00A76910"/>
    <w:rsid w:val="00A81168"/>
    <w:rsid w:val="00A914B4"/>
    <w:rsid w:val="00A937B3"/>
    <w:rsid w:val="00A942AC"/>
    <w:rsid w:val="00A9480B"/>
    <w:rsid w:val="00A96521"/>
    <w:rsid w:val="00AB4F80"/>
    <w:rsid w:val="00AB542D"/>
    <w:rsid w:val="00AB7AB2"/>
    <w:rsid w:val="00AC3706"/>
    <w:rsid w:val="00AD336F"/>
    <w:rsid w:val="00AE0AA2"/>
    <w:rsid w:val="00AE131E"/>
    <w:rsid w:val="00AE4052"/>
    <w:rsid w:val="00AE7FC5"/>
    <w:rsid w:val="00AF1CC5"/>
    <w:rsid w:val="00AF2918"/>
    <w:rsid w:val="00AF68AE"/>
    <w:rsid w:val="00AF6D85"/>
    <w:rsid w:val="00B10C04"/>
    <w:rsid w:val="00B1125D"/>
    <w:rsid w:val="00B11C50"/>
    <w:rsid w:val="00B13A53"/>
    <w:rsid w:val="00B17698"/>
    <w:rsid w:val="00B25A66"/>
    <w:rsid w:val="00B25CE6"/>
    <w:rsid w:val="00B266B8"/>
    <w:rsid w:val="00B27F74"/>
    <w:rsid w:val="00B30635"/>
    <w:rsid w:val="00B316B2"/>
    <w:rsid w:val="00B438AC"/>
    <w:rsid w:val="00B44D60"/>
    <w:rsid w:val="00B45299"/>
    <w:rsid w:val="00B56AC7"/>
    <w:rsid w:val="00B65D7B"/>
    <w:rsid w:val="00B706D2"/>
    <w:rsid w:val="00B73A79"/>
    <w:rsid w:val="00B743F8"/>
    <w:rsid w:val="00B805A8"/>
    <w:rsid w:val="00B8434B"/>
    <w:rsid w:val="00B84E84"/>
    <w:rsid w:val="00B90085"/>
    <w:rsid w:val="00B90E52"/>
    <w:rsid w:val="00B94194"/>
    <w:rsid w:val="00BA17B2"/>
    <w:rsid w:val="00BA500A"/>
    <w:rsid w:val="00BA7FA6"/>
    <w:rsid w:val="00BC255B"/>
    <w:rsid w:val="00BC2818"/>
    <w:rsid w:val="00BC599E"/>
    <w:rsid w:val="00BC62E5"/>
    <w:rsid w:val="00BC6EEE"/>
    <w:rsid w:val="00BD0B90"/>
    <w:rsid w:val="00BD168D"/>
    <w:rsid w:val="00BD2F17"/>
    <w:rsid w:val="00BD5949"/>
    <w:rsid w:val="00BD797A"/>
    <w:rsid w:val="00BD7B8A"/>
    <w:rsid w:val="00BE6DE1"/>
    <w:rsid w:val="00BF2A0A"/>
    <w:rsid w:val="00BF7B53"/>
    <w:rsid w:val="00C00A33"/>
    <w:rsid w:val="00C01E87"/>
    <w:rsid w:val="00C07440"/>
    <w:rsid w:val="00C1317B"/>
    <w:rsid w:val="00C22821"/>
    <w:rsid w:val="00C26C09"/>
    <w:rsid w:val="00C418CC"/>
    <w:rsid w:val="00C42915"/>
    <w:rsid w:val="00C43A50"/>
    <w:rsid w:val="00C46973"/>
    <w:rsid w:val="00C64EB8"/>
    <w:rsid w:val="00C66DCD"/>
    <w:rsid w:val="00C73025"/>
    <w:rsid w:val="00C82AF7"/>
    <w:rsid w:val="00C84EA5"/>
    <w:rsid w:val="00C862E2"/>
    <w:rsid w:val="00C87F72"/>
    <w:rsid w:val="00C90328"/>
    <w:rsid w:val="00C91D5B"/>
    <w:rsid w:val="00CB1B97"/>
    <w:rsid w:val="00CB7357"/>
    <w:rsid w:val="00CC3DDC"/>
    <w:rsid w:val="00CC73CA"/>
    <w:rsid w:val="00CC7D55"/>
    <w:rsid w:val="00CD0DAB"/>
    <w:rsid w:val="00CD1852"/>
    <w:rsid w:val="00CE19D0"/>
    <w:rsid w:val="00CE61BF"/>
    <w:rsid w:val="00CE69AC"/>
    <w:rsid w:val="00CF03EB"/>
    <w:rsid w:val="00CF18E1"/>
    <w:rsid w:val="00CF703F"/>
    <w:rsid w:val="00D10C8F"/>
    <w:rsid w:val="00D11982"/>
    <w:rsid w:val="00D17B52"/>
    <w:rsid w:val="00D2510D"/>
    <w:rsid w:val="00D2714A"/>
    <w:rsid w:val="00D3707F"/>
    <w:rsid w:val="00D43E95"/>
    <w:rsid w:val="00D5082F"/>
    <w:rsid w:val="00D513BE"/>
    <w:rsid w:val="00D513FA"/>
    <w:rsid w:val="00D554A0"/>
    <w:rsid w:val="00D572A4"/>
    <w:rsid w:val="00D7048D"/>
    <w:rsid w:val="00D707D2"/>
    <w:rsid w:val="00D75F47"/>
    <w:rsid w:val="00D76914"/>
    <w:rsid w:val="00D77EA4"/>
    <w:rsid w:val="00D84948"/>
    <w:rsid w:val="00D86440"/>
    <w:rsid w:val="00D87BAB"/>
    <w:rsid w:val="00D9530A"/>
    <w:rsid w:val="00D97036"/>
    <w:rsid w:val="00DA1160"/>
    <w:rsid w:val="00DA300F"/>
    <w:rsid w:val="00DA3106"/>
    <w:rsid w:val="00DA4CF5"/>
    <w:rsid w:val="00DB0EB9"/>
    <w:rsid w:val="00DB500B"/>
    <w:rsid w:val="00DB57B2"/>
    <w:rsid w:val="00DB61EC"/>
    <w:rsid w:val="00DB7013"/>
    <w:rsid w:val="00DC071F"/>
    <w:rsid w:val="00DC234C"/>
    <w:rsid w:val="00DC2976"/>
    <w:rsid w:val="00DC7869"/>
    <w:rsid w:val="00DD5615"/>
    <w:rsid w:val="00DE4816"/>
    <w:rsid w:val="00DE4AE4"/>
    <w:rsid w:val="00DE59CC"/>
    <w:rsid w:val="00DE6A1F"/>
    <w:rsid w:val="00DF6A10"/>
    <w:rsid w:val="00E00822"/>
    <w:rsid w:val="00E00E1F"/>
    <w:rsid w:val="00E02B2F"/>
    <w:rsid w:val="00E12E3F"/>
    <w:rsid w:val="00E156D3"/>
    <w:rsid w:val="00E16483"/>
    <w:rsid w:val="00E16AAD"/>
    <w:rsid w:val="00E26752"/>
    <w:rsid w:val="00E27550"/>
    <w:rsid w:val="00E32389"/>
    <w:rsid w:val="00E34BD6"/>
    <w:rsid w:val="00E47BCE"/>
    <w:rsid w:val="00E50A5D"/>
    <w:rsid w:val="00E57A30"/>
    <w:rsid w:val="00E61477"/>
    <w:rsid w:val="00E6178D"/>
    <w:rsid w:val="00E86BB7"/>
    <w:rsid w:val="00E874A6"/>
    <w:rsid w:val="00E902E5"/>
    <w:rsid w:val="00E97080"/>
    <w:rsid w:val="00EA051D"/>
    <w:rsid w:val="00EA4CD8"/>
    <w:rsid w:val="00EA756F"/>
    <w:rsid w:val="00EB0C67"/>
    <w:rsid w:val="00EC664C"/>
    <w:rsid w:val="00ED54BF"/>
    <w:rsid w:val="00ED6143"/>
    <w:rsid w:val="00ED71CA"/>
    <w:rsid w:val="00ED779C"/>
    <w:rsid w:val="00EE560C"/>
    <w:rsid w:val="00EE5D4F"/>
    <w:rsid w:val="00EE6F32"/>
    <w:rsid w:val="00EF1145"/>
    <w:rsid w:val="00EF3150"/>
    <w:rsid w:val="00F06274"/>
    <w:rsid w:val="00F0689C"/>
    <w:rsid w:val="00F06E7D"/>
    <w:rsid w:val="00F12952"/>
    <w:rsid w:val="00F15DA8"/>
    <w:rsid w:val="00F1601F"/>
    <w:rsid w:val="00F34343"/>
    <w:rsid w:val="00F449BE"/>
    <w:rsid w:val="00F57886"/>
    <w:rsid w:val="00F60888"/>
    <w:rsid w:val="00F72852"/>
    <w:rsid w:val="00F82B19"/>
    <w:rsid w:val="00F851AE"/>
    <w:rsid w:val="00F8739E"/>
    <w:rsid w:val="00F97098"/>
    <w:rsid w:val="00F97570"/>
    <w:rsid w:val="00F97B9E"/>
    <w:rsid w:val="00FA023A"/>
    <w:rsid w:val="00FA5AD6"/>
    <w:rsid w:val="00FA6BA8"/>
    <w:rsid w:val="00FB42E4"/>
    <w:rsid w:val="00FB6B66"/>
    <w:rsid w:val="00FC0FDE"/>
    <w:rsid w:val="00FC1272"/>
    <w:rsid w:val="00FC4317"/>
    <w:rsid w:val="00FC5A9B"/>
    <w:rsid w:val="00FC6B3F"/>
    <w:rsid w:val="00FC6C36"/>
    <w:rsid w:val="00FD0D18"/>
    <w:rsid w:val="00FD114C"/>
    <w:rsid w:val="00FD2350"/>
    <w:rsid w:val="00FD366D"/>
    <w:rsid w:val="00FE013E"/>
    <w:rsid w:val="00FE3286"/>
    <w:rsid w:val="00FF12D5"/>
    <w:rsid w:val="00FF2844"/>
    <w:rsid w:val="00FF3330"/>
    <w:rsid w:val="00FF4EC2"/>
    <w:rsid w:val="0185183C"/>
    <w:rsid w:val="023B3DA9"/>
    <w:rsid w:val="031664A1"/>
    <w:rsid w:val="035C2699"/>
    <w:rsid w:val="03FE3E5D"/>
    <w:rsid w:val="041A589E"/>
    <w:rsid w:val="041C1F62"/>
    <w:rsid w:val="04BB1F4F"/>
    <w:rsid w:val="04E06B0C"/>
    <w:rsid w:val="04E9501D"/>
    <w:rsid w:val="04EE0041"/>
    <w:rsid w:val="04F668B1"/>
    <w:rsid w:val="05915D26"/>
    <w:rsid w:val="05B834CC"/>
    <w:rsid w:val="05EE0503"/>
    <w:rsid w:val="060F0799"/>
    <w:rsid w:val="06A7132C"/>
    <w:rsid w:val="06BA62E9"/>
    <w:rsid w:val="07584A6A"/>
    <w:rsid w:val="076E5E56"/>
    <w:rsid w:val="0797010C"/>
    <w:rsid w:val="07F34AFE"/>
    <w:rsid w:val="08080FF5"/>
    <w:rsid w:val="08DC3375"/>
    <w:rsid w:val="09533562"/>
    <w:rsid w:val="099836F7"/>
    <w:rsid w:val="09BC4F05"/>
    <w:rsid w:val="09E549DD"/>
    <w:rsid w:val="09E7414B"/>
    <w:rsid w:val="0B271D63"/>
    <w:rsid w:val="0B7932BF"/>
    <w:rsid w:val="0CA055C2"/>
    <w:rsid w:val="0CB17E61"/>
    <w:rsid w:val="0CCE4280"/>
    <w:rsid w:val="0CE8081C"/>
    <w:rsid w:val="0CE91A4F"/>
    <w:rsid w:val="0D10697F"/>
    <w:rsid w:val="0D354F69"/>
    <w:rsid w:val="0D413ECD"/>
    <w:rsid w:val="0D5A43A4"/>
    <w:rsid w:val="0E4E4931"/>
    <w:rsid w:val="0E6B68A7"/>
    <w:rsid w:val="0E9D3FAE"/>
    <w:rsid w:val="0EE8336B"/>
    <w:rsid w:val="0EF531F9"/>
    <w:rsid w:val="0F087E2F"/>
    <w:rsid w:val="0F582960"/>
    <w:rsid w:val="0FA32C42"/>
    <w:rsid w:val="0FF87D20"/>
    <w:rsid w:val="10542E61"/>
    <w:rsid w:val="10FD541A"/>
    <w:rsid w:val="11F249CF"/>
    <w:rsid w:val="14F86A77"/>
    <w:rsid w:val="15246A27"/>
    <w:rsid w:val="15453B8B"/>
    <w:rsid w:val="1553008A"/>
    <w:rsid w:val="15AF69D8"/>
    <w:rsid w:val="15D14884"/>
    <w:rsid w:val="16265E64"/>
    <w:rsid w:val="1697343C"/>
    <w:rsid w:val="16AA1BF9"/>
    <w:rsid w:val="17273364"/>
    <w:rsid w:val="17485042"/>
    <w:rsid w:val="175553BB"/>
    <w:rsid w:val="176962DE"/>
    <w:rsid w:val="178D0EA6"/>
    <w:rsid w:val="182575F6"/>
    <w:rsid w:val="18EE0939"/>
    <w:rsid w:val="193E1375"/>
    <w:rsid w:val="19BC5FD4"/>
    <w:rsid w:val="1B8459DF"/>
    <w:rsid w:val="1C322F51"/>
    <w:rsid w:val="1C5A616E"/>
    <w:rsid w:val="1CF3300F"/>
    <w:rsid w:val="1D2C1550"/>
    <w:rsid w:val="1DFB03E5"/>
    <w:rsid w:val="1EEA6266"/>
    <w:rsid w:val="1F1848C8"/>
    <w:rsid w:val="1F4C636E"/>
    <w:rsid w:val="1F9A2EAD"/>
    <w:rsid w:val="1FA33E71"/>
    <w:rsid w:val="1FE71CF9"/>
    <w:rsid w:val="1FFAC7A8"/>
    <w:rsid w:val="208D0245"/>
    <w:rsid w:val="208E4638"/>
    <w:rsid w:val="212B7D7C"/>
    <w:rsid w:val="21426CF4"/>
    <w:rsid w:val="22110474"/>
    <w:rsid w:val="22221258"/>
    <w:rsid w:val="22BE64BB"/>
    <w:rsid w:val="23542B50"/>
    <w:rsid w:val="23553472"/>
    <w:rsid w:val="239616C2"/>
    <w:rsid w:val="239C7BFA"/>
    <w:rsid w:val="23C74673"/>
    <w:rsid w:val="240D4D93"/>
    <w:rsid w:val="24240DD8"/>
    <w:rsid w:val="243F4DAA"/>
    <w:rsid w:val="24657DCE"/>
    <w:rsid w:val="24757656"/>
    <w:rsid w:val="24DF4D8F"/>
    <w:rsid w:val="24EE3D24"/>
    <w:rsid w:val="25441BE0"/>
    <w:rsid w:val="25646BD6"/>
    <w:rsid w:val="25E42F4C"/>
    <w:rsid w:val="26B553A2"/>
    <w:rsid w:val="27383550"/>
    <w:rsid w:val="27434108"/>
    <w:rsid w:val="27D914B0"/>
    <w:rsid w:val="2806431F"/>
    <w:rsid w:val="285F48E3"/>
    <w:rsid w:val="291908FB"/>
    <w:rsid w:val="299700C0"/>
    <w:rsid w:val="29F050DC"/>
    <w:rsid w:val="2A7A723E"/>
    <w:rsid w:val="2A7F689E"/>
    <w:rsid w:val="2AB363EE"/>
    <w:rsid w:val="2AEA2007"/>
    <w:rsid w:val="2B8457A0"/>
    <w:rsid w:val="2BBD43D2"/>
    <w:rsid w:val="2BDA346C"/>
    <w:rsid w:val="2C4A1B02"/>
    <w:rsid w:val="2C6C5BC4"/>
    <w:rsid w:val="2CBF4F7A"/>
    <w:rsid w:val="2CCA05AB"/>
    <w:rsid w:val="2D9A3811"/>
    <w:rsid w:val="2DBB0A37"/>
    <w:rsid w:val="2E233F62"/>
    <w:rsid w:val="2E3342E0"/>
    <w:rsid w:val="2E4257FB"/>
    <w:rsid w:val="2E5B57DB"/>
    <w:rsid w:val="2E602F48"/>
    <w:rsid w:val="2E7115D2"/>
    <w:rsid w:val="2EC90A1D"/>
    <w:rsid w:val="2F441756"/>
    <w:rsid w:val="2F47399F"/>
    <w:rsid w:val="2FA9730B"/>
    <w:rsid w:val="2FBF3B15"/>
    <w:rsid w:val="2FE80F34"/>
    <w:rsid w:val="2FF7AD3B"/>
    <w:rsid w:val="31AC4D63"/>
    <w:rsid w:val="320D762A"/>
    <w:rsid w:val="324F0416"/>
    <w:rsid w:val="32925305"/>
    <w:rsid w:val="32A94C0B"/>
    <w:rsid w:val="32BC69A9"/>
    <w:rsid w:val="3332573D"/>
    <w:rsid w:val="33B444E3"/>
    <w:rsid w:val="342F4566"/>
    <w:rsid w:val="343D7F0F"/>
    <w:rsid w:val="345033AD"/>
    <w:rsid w:val="34996049"/>
    <w:rsid w:val="34DC02B3"/>
    <w:rsid w:val="353E374D"/>
    <w:rsid w:val="35751B32"/>
    <w:rsid w:val="35CD2E9D"/>
    <w:rsid w:val="36206BED"/>
    <w:rsid w:val="370419F2"/>
    <w:rsid w:val="371A5260"/>
    <w:rsid w:val="376712E7"/>
    <w:rsid w:val="37B72B6A"/>
    <w:rsid w:val="38525071"/>
    <w:rsid w:val="39074DE8"/>
    <w:rsid w:val="391C7D65"/>
    <w:rsid w:val="39E6271B"/>
    <w:rsid w:val="3A0C7B0B"/>
    <w:rsid w:val="3A1A46C3"/>
    <w:rsid w:val="3A6038B8"/>
    <w:rsid w:val="3AA76E9C"/>
    <w:rsid w:val="3B824942"/>
    <w:rsid w:val="3B85759E"/>
    <w:rsid w:val="3B8A62BD"/>
    <w:rsid w:val="3B9B76BD"/>
    <w:rsid w:val="3BCC84DA"/>
    <w:rsid w:val="3C447A2B"/>
    <w:rsid w:val="3C886F31"/>
    <w:rsid w:val="3CB2113E"/>
    <w:rsid w:val="3CED5466"/>
    <w:rsid w:val="3E6234B2"/>
    <w:rsid w:val="3E9828BB"/>
    <w:rsid w:val="3EA340D6"/>
    <w:rsid w:val="3EAB7620"/>
    <w:rsid w:val="3EAF2F70"/>
    <w:rsid w:val="3EBD167C"/>
    <w:rsid w:val="3EFE594F"/>
    <w:rsid w:val="3F197155"/>
    <w:rsid w:val="3F4F43CB"/>
    <w:rsid w:val="3F4F804A"/>
    <w:rsid w:val="3F5F6781"/>
    <w:rsid w:val="3F9A727F"/>
    <w:rsid w:val="3FAF9695"/>
    <w:rsid w:val="3FCF4C01"/>
    <w:rsid w:val="3FD5706A"/>
    <w:rsid w:val="3FEDCEEE"/>
    <w:rsid w:val="3FF755E1"/>
    <w:rsid w:val="3FF9B3B0"/>
    <w:rsid w:val="3FFF2088"/>
    <w:rsid w:val="4061524E"/>
    <w:rsid w:val="41250EA4"/>
    <w:rsid w:val="41432007"/>
    <w:rsid w:val="41695155"/>
    <w:rsid w:val="41973029"/>
    <w:rsid w:val="41DA54D8"/>
    <w:rsid w:val="41E040DE"/>
    <w:rsid w:val="420708BD"/>
    <w:rsid w:val="429756B9"/>
    <w:rsid w:val="42CC3426"/>
    <w:rsid w:val="42EE5221"/>
    <w:rsid w:val="42F52B43"/>
    <w:rsid w:val="432E1FE6"/>
    <w:rsid w:val="43A32847"/>
    <w:rsid w:val="43C45BBD"/>
    <w:rsid w:val="43FFAE1C"/>
    <w:rsid w:val="445F0414"/>
    <w:rsid w:val="44B454C5"/>
    <w:rsid w:val="44D17C83"/>
    <w:rsid w:val="44DD4C0A"/>
    <w:rsid w:val="453D4124"/>
    <w:rsid w:val="45832866"/>
    <w:rsid w:val="4597742E"/>
    <w:rsid w:val="45F02CCE"/>
    <w:rsid w:val="462028A4"/>
    <w:rsid w:val="4644645E"/>
    <w:rsid w:val="46B55F0F"/>
    <w:rsid w:val="47241DC7"/>
    <w:rsid w:val="472E709C"/>
    <w:rsid w:val="47783581"/>
    <w:rsid w:val="47E9087B"/>
    <w:rsid w:val="48314DBB"/>
    <w:rsid w:val="484D1700"/>
    <w:rsid w:val="48960CEF"/>
    <w:rsid w:val="48B940E7"/>
    <w:rsid w:val="48BE7E7E"/>
    <w:rsid w:val="4A1F04AA"/>
    <w:rsid w:val="4A4D7CF5"/>
    <w:rsid w:val="4A6730E4"/>
    <w:rsid w:val="4AE75F41"/>
    <w:rsid w:val="4B0B3EE2"/>
    <w:rsid w:val="4B670113"/>
    <w:rsid w:val="4B747424"/>
    <w:rsid w:val="4BC65AAD"/>
    <w:rsid w:val="4BE949E8"/>
    <w:rsid w:val="4BF87D30"/>
    <w:rsid w:val="4CDD108B"/>
    <w:rsid w:val="4CF152B1"/>
    <w:rsid w:val="4CF259CA"/>
    <w:rsid w:val="4D544F90"/>
    <w:rsid w:val="4D786E26"/>
    <w:rsid w:val="4D97006D"/>
    <w:rsid w:val="4DC44CA2"/>
    <w:rsid w:val="4DE110E0"/>
    <w:rsid w:val="4E042231"/>
    <w:rsid w:val="4E7F1041"/>
    <w:rsid w:val="4EAA731D"/>
    <w:rsid w:val="4EC60815"/>
    <w:rsid w:val="4F075C64"/>
    <w:rsid w:val="4F7F459E"/>
    <w:rsid w:val="4FAE3513"/>
    <w:rsid w:val="4FCF457A"/>
    <w:rsid w:val="4FF17A70"/>
    <w:rsid w:val="50615BFE"/>
    <w:rsid w:val="508B462C"/>
    <w:rsid w:val="50D35725"/>
    <w:rsid w:val="510C4F82"/>
    <w:rsid w:val="516C138B"/>
    <w:rsid w:val="516E10A7"/>
    <w:rsid w:val="51C71F8E"/>
    <w:rsid w:val="52267BB8"/>
    <w:rsid w:val="52456535"/>
    <w:rsid w:val="529169C4"/>
    <w:rsid w:val="52991A08"/>
    <w:rsid w:val="52BB4E21"/>
    <w:rsid w:val="52BC45CC"/>
    <w:rsid w:val="5303454C"/>
    <w:rsid w:val="53975234"/>
    <w:rsid w:val="53C25C1E"/>
    <w:rsid w:val="54015010"/>
    <w:rsid w:val="544C6AD8"/>
    <w:rsid w:val="545C5FF1"/>
    <w:rsid w:val="546F7495"/>
    <w:rsid w:val="54AD26FA"/>
    <w:rsid w:val="54B55E70"/>
    <w:rsid w:val="54EE62CF"/>
    <w:rsid w:val="55184EDC"/>
    <w:rsid w:val="55F11447"/>
    <w:rsid w:val="56493B35"/>
    <w:rsid w:val="567E622C"/>
    <w:rsid w:val="569D4614"/>
    <w:rsid w:val="56CF2477"/>
    <w:rsid w:val="56D7EF24"/>
    <w:rsid w:val="5727578C"/>
    <w:rsid w:val="57474BC4"/>
    <w:rsid w:val="57BDBA13"/>
    <w:rsid w:val="57C249BF"/>
    <w:rsid w:val="57F67D30"/>
    <w:rsid w:val="57F70D6B"/>
    <w:rsid w:val="57FFE936"/>
    <w:rsid w:val="58822AE1"/>
    <w:rsid w:val="589601B9"/>
    <w:rsid w:val="58DB1200"/>
    <w:rsid w:val="58DD6E6C"/>
    <w:rsid w:val="58EDD185"/>
    <w:rsid w:val="590C3609"/>
    <w:rsid w:val="59505470"/>
    <w:rsid w:val="59841A6C"/>
    <w:rsid w:val="598B6E78"/>
    <w:rsid w:val="59A93098"/>
    <w:rsid w:val="5A4E1134"/>
    <w:rsid w:val="5A584F05"/>
    <w:rsid w:val="5A5E44D5"/>
    <w:rsid w:val="5A636C11"/>
    <w:rsid w:val="5B3F56E9"/>
    <w:rsid w:val="5B6D0BC8"/>
    <w:rsid w:val="5B9F77DD"/>
    <w:rsid w:val="5BFE9EC0"/>
    <w:rsid w:val="5C66635B"/>
    <w:rsid w:val="5C825851"/>
    <w:rsid w:val="5CB06720"/>
    <w:rsid w:val="5CC03137"/>
    <w:rsid w:val="5D6E05AC"/>
    <w:rsid w:val="5DD5595E"/>
    <w:rsid w:val="5DDF2B32"/>
    <w:rsid w:val="5E4BDEC9"/>
    <w:rsid w:val="5E70507C"/>
    <w:rsid w:val="5EA7685B"/>
    <w:rsid w:val="5F1174EA"/>
    <w:rsid w:val="5F34527C"/>
    <w:rsid w:val="5F7FD286"/>
    <w:rsid w:val="5FCC2D7E"/>
    <w:rsid w:val="5FEE7E20"/>
    <w:rsid w:val="5FFF118B"/>
    <w:rsid w:val="5FFF5ED0"/>
    <w:rsid w:val="602624E2"/>
    <w:rsid w:val="6039546A"/>
    <w:rsid w:val="60417D0A"/>
    <w:rsid w:val="60AE7228"/>
    <w:rsid w:val="60B466E8"/>
    <w:rsid w:val="614917EC"/>
    <w:rsid w:val="61A81408"/>
    <w:rsid w:val="61CC2880"/>
    <w:rsid w:val="62310EF4"/>
    <w:rsid w:val="628343CF"/>
    <w:rsid w:val="62CB384B"/>
    <w:rsid w:val="637862A9"/>
    <w:rsid w:val="638B7DFB"/>
    <w:rsid w:val="63CF45B6"/>
    <w:rsid w:val="63E337FB"/>
    <w:rsid w:val="645635B2"/>
    <w:rsid w:val="64ED547E"/>
    <w:rsid w:val="653F1475"/>
    <w:rsid w:val="654065A5"/>
    <w:rsid w:val="65712136"/>
    <w:rsid w:val="658F5F45"/>
    <w:rsid w:val="65A81333"/>
    <w:rsid w:val="65F844BD"/>
    <w:rsid w:val="660E0E95"/>
    <w:rsid w:val="66E634DC"/>
    <w:rsid w:val="67373B2C"/>
    <w:rsid w:val="67401435"/>
    <w:rsid w:val="677A7522"/>
    <w:rsid w:val="680D7C96"/>
    <w:rsid w:val="68467C21"/>
    <w:rsid w:val="68553895"/>
    <w:rsid w:val="68CE23A5"/>
    <w:rsid w:val="69401DA6"/>
    <w:rsid w:val="69692359"/>
    <w:rsid w:val="69BFFAF4"/>
    <w:rsid w:val="69DC15AF"/>
    <w:rsid w:val="69E42164"/>
    <w:rsid w:val="6A4C2A67"/>
    <w:rsid w:val="6A567C20"/>
    <w:rsid w:val="6A95076A"/>
    <w:rsid w:val="6B194D8D"/>
    <w:rsid w:val="6BBC0880"/>
    <w:rsid w:val="6BD71072"/>
    <w:rsid w:val="6C1D6076"/>
    <w:rsid w:val="6C5BBD8B"/>
    <w:rsid w:val="6C712D2B"/>
    <w:rsid w:val="6C7A1884"/>
    <w:rsid w:val="6CDA594A"/>
    <w:rsid w:val="6CF00985"/>
    <w:rsid w:val="6CF46B17"/>
    <w:rsid w:val="6D14701B"/>
    <w:rsid w:val="6D26275C"/>
    <w:rsid w:val="6D4C2682"/>
    <w:rsid w:val="6D596CF4"/>
    <w:rsid w:val="6D7657F6"/>
    <w:rsid w:val="6D7A0FFB"/>
    <w:rsid w:val="6DE7A318"/>
    <w:rsid w:val="6ED73A42"/>
    <w:rsid w:val="6EFF2E06"/>
    <w:rsid w:val="6F33113E"/>
    <w:rsid w:val="6F6D2C82"/>
    <w:rsid w:val="6FD63EEA"/>
    <w:rsid w:val="6FFC4EA3"/>
    <w:rsid w:val="7019691C"/>
    <w:rsid w:val="70335732"/>
    <w:rsid w:val="71AB3091"/>
    <w:rsid w:val="71BD736C"/>
    <w:rsid w:val="7226090C"/>
    <w:rsid w:val="722F4A5F"/>
    <w:rsid w:val="723C3246"/>
    <w:rsid w:val="728040FD"/>
    <w:rsid w:val="7315F857"/>
    <w:rsid w:val="731F7694"/>
    <w:rsid w:val="74EA046F"/>
    <w:rsid w:val="74F60CF4"/>
    <w:rsid w:val="7512573D"/>
    <w:rsid w:val="75346CA4"/>
    <w:rsid w:val="75883D59"/>
    <w:rsid w:val="759F6885"/>
    <w:rsid w:val="75B6393A"/>
    <w:rsid w:val="75BF41BD"/>
    <w:rsid w:val="75EDAE11"/>
    <w:rsid w:val="7604324E"/>
    <w:rsid w:val="764D6A85"/>
    <w:rsid w:val="764F77F4"/>
    <w:rsid w:val="766E39D9"/>
    <w:rsid w:val="766E6C25"/>
    <w:rsid w:val="76CA6BC2"/>
    <w:rsid w:val="76F57181"/>
    <w:rsid w:val="76FC3C69"/>
    <w:rsid w:val="778A2D4A"/>
    <w:rsid w:val="77BF3B03"/>
    <w:rsid w:val="77C86D01"/>
    <w:rsid w:val="77EADDC5"/>
    <w:rsid w:val="77F7A7B7"/>
    <w:rsid w:val="78BFEC8E"/>
    <w:rsid w:val="78D11D28"/>
    <w:rsid w:val="78EC4E9C"/>
    <w:rsid w:val="791A26BE"/>
    <w:rsid w:val="791E3741"/>
    <w:rsid w:val="79611BB0"/>
    <w:rsid w:val="79705CA0"/>
    <w:rsid w:val="797E5A02"/>
    <w:rsid w:val="79C04E38"/>
    <w:rsid w:val="79DEDE2E"/>
    <w:rsid w:val="79FAAA4A"/>
    <w:rsid w:val="7AC774BD"/>
    <w:rsid w:val="7ADB5A43"/>
    <w:rsid w:val="7AEF63C1"/>
    <w:rsid w:val="7AEF9290"/>
    <w:rsid w:val="7AFA20E6"/>
    <w:rsid w:val="7B226948"/>
    <w:rsid w:val="7B40684C"/>
    <w:rsid w:val="7B7E34B7"/>
    <w:rsid w:val="7BA30286"/>
    <w:rsid w:val="7BAB1775"/>
    <w:rsid w:val="7BB10B26"/>
    <w:rsid w:val="7BBB053C"/>
    <w:rsid w:val="7BBF1443"/>
    <w:rsid w:val="7BDF020D"/>
    <w:rsid w:val="7BFDE7A2"/>
    <w:rsid w:val="7C8260B2"/>
    <w:rsid w:val="7CD76A8C"/>
    <w:rsid w:val="7D794AE9"/>
    <w:rsid w:val="7DB62B7D"/>
    <w:rsid w:val="7DCC6642"/>
    <w:rsid w:val="7DD60D82"/>
    <w:rsid w:val="7DED344A"/>
    <w:rsid w:val="7DEE1163"/>
    <w:rsid w:val="7DFC7B81"/>
    <w:rsid w:val="7DFE376F"/>
    <w:rsid w:val="7DFF1EBC"/>
    <w:rsid w:val="7E13891E"/>
    <w:rsid w:val="7E294133"/>
    <w:rsid w:val="7E3E6732"/>
    <w:rsid w:val="7E7A77EE"/>
    <w:rsid w:val="7EB350A8"/>
    <w:rsid w:val="7EB5AA8F"/>
    <w:rsid w:val="7EB5BC0E"/>
    <w:rsid w:val="7EB81375"/>
    <w:rsid w:val="7ECF9181"/>
    <w:rsid w:val="7F0A0C36"/>
    <w:rsid w:val="7F3B337B"/>
    <w:rsid w:val="7F696B8F"/>
    <w:rsid w:val="7F6B1D34"/>
    <w:rsid w:val="7F6D2DBA"/>
    <w:rsid w:val="7F7482D6"/>
    <w:rsid w:val="7F7BDAA6"/>
    <w:rsid w:val="7FA79FE1"/>
    <w:rsid w:val="7FB32ED1"/>
    <w:rsid w:val="7FB65550"/>
    <w:rsid w:val="7FEBA502"/>
    <w:rsid w:val="7FEF288C"/>
    <w:rsid w:val="7FEF2AA8"/>
    <w:rsid w:val="7FF5FF52"/>
    <w:rsid w:val="7FF87D41"/>
    <w:rsid w:val="7FFB5BAD"/>
    <w:rsid w:val="7FFEF619"/>
    <w:rsid w:val="83D7AE0C"/>
    <w:rsid w:val="91FB8F63"/>
    <w:rsid w:val="9B6FE8E5"/>
    <w:rsid w:val="9F755329"/>
    <w:rsid w:val="9FBA1076"/>
    <w:rsid w:val="AF7F77AD"/>
    <w:rsid w:val="AFF31B44"/>
    <w:rsid w:val="AFF7107B"/>
    <w:rsid w:val="AFFB5B44"/>
    <w:rsid w:val="AFFF2B81"/>
    <w:rsid w:val="B3FF1990"/>
    <w:rsid w:val="B6E346D0"/>
    <w:rsid w:val="B7F184D4"/>
    <w:rsid w:val="BABC5F95"/>
    <w:rsid w:val="BADD2D83"/>
    <w:rsid w:val="BBBE3340"/>
    <w:rsid w:val="BCCAA02F"/>
    <w:rsid w:val="BDEA0990"/>
    <w:rsid w:val="BDF15B82"/>
    <w:rsid w:val="BE7E9951"/>
    <w:rsid w:val="BF4F3324"/>
    <w:rsid w:val="BF765D72"/>
    <w:rsid w:val="BFDF5F1A"/>
    <w:rsid w:val="BFF71395"/>
    <w:rsid w:val="C7E6B8A2"/>
    <w:rsid w:val="CB36088A"/>
    <w:rsid w:val="CCFEC4C3"/>
    <w:rsid w:val="D7FF6701"/>
    <w:rsid w:val="D9DF3575"/>
    <w:rsid w:val="DBB5303E"/>
    <w:rsid w:val="DBBF069D"/>
    <w:rsid w:val="DBDD9A0B"/>
    <w:rsid w:val="DBE75E52"/>
    <w:rsid w:val="DC6E2B39"/>
    <w:rsid w:val="DEDFD947"/>
    <w:rsid w:val="DEFE9857"/>
    <w:rsid w:val="DF7A538F"/>
    <w:rsid w:val="DFFF442D"/>
    <w:rsid w:val="DFFF7F94"/>
    <w:rsid w:val="E7FC5197"/>
    <w:rsid w:val="E9EC700E"/>
    <w:rsid w:val="ECEF1AC6"/>
    <w:rsid w:val="EDFED97B"/>
    <w:rsid w:val="EE0FE20A"/>
    <w:rsid w:val="EEECBE01"/>
    <w:rsid w:val="EF966802"/>
    <w:rsid w:val="EFCDCEAC"/>
    <w:rsid w:val="EFDF425E"/>
    <w:rsid w:val="EFDF764D"/>
    <w:rsid w:val="EFFE50C0"/>
    <w:rsid w:val="EFFF7315"/>
    <w:rsid w:val="EFFFD443"/>
    <w:rsid w:val="F2EF61E3"/>
    <w:rsid w:val="F3875A68"/>
    <w:rsid w:val="F3E770F0"/>
    <w:rsid w:val="F3FABBD2"/>
    <w:rsid w:val="F4BB2DC4"/>
    <w:rsid w:val="F5DB5DAE"/>
    <w:rsid w:val="F778192C"/>
    <w:rsid w:val="F77F9C4F"/>
    <w:rsid w:val="F7D51876"/>
    <w:rsid w:val="F7D733E6"/>
    <w:rsid w:val="F7DEC007"/>
    <w:rsid w:val="F9DB9567"/>
    <w:rsid w:val="FA45E4F3"/>
    <w:rsid w:val="FADD78DB"/>
    <w:rsid w:val="FB3D4E82"/>
    <w:rsid w:val="FB5F6F1B"/>
    <w:rsid w:val="FBAF1A44"/>
    <w:rsid w:val="FBDE7735"/>
    <w:rsid w:val="FBFB0D27"/>
    <w:rsid w:val="FCAF3747"/>
    <w:rsid w:val="FCFDA44F"/>
    <w:rsid w:val="FDE77A23"/>
    <w:rsid w:val="FE5361B1"/>
    <w:rsid w:val="FE67F2A8"/>
    <w:rsid w:val="FE7E2B93"/>
    <w:rsid w:val="FEC77732"/>
    <w:rsid w:val="FEFDF5B1"/>
    <w:rsid w:val="FEFF0E93"/>
    <w:rsid w:val="FF5F2836"/>
    <w:rsid w:val="FF7D8CD6"/>
    <w:rsid w:val="FF7E0A3A"/>
    <w:rsid w:val="FF9A344C"/>
    <w:rsid w:val="FFAFC5FF"/>
    <w:rsid w:val="FFBA4444"/>
    <w:rsid w:val="FFC7EA20"/>
    <w:rsid w:val="FFD79DD9"/>
    <w:rsid w:val="FFD7F06F"/>
    <w:rsid w:val="FFDDEABE"/>
    <w:rsid w:val="FFE6B838"/>
    <w:rsid w:val="FFF70839"/>
    <w:rsid w:val="FFF71670"/>
    <w:rsid w:val="FFF74CC5"/>
    <w:rsid w:val="FFFDEFC1"/>
    <w:rsid w:val="FFFFC394"/>
    <w:rsid w:val="FFFFE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4">
    <w:name w:val="heading 5"/>
    <w:basedOn w:val="1"/>
    <w:next w:val="1"/>
    <w:link w:val="30"/>
    <w:autoRedefine/>
    <w:unhideWhenUsed/>
    <w:qFormat/>
    <w:uiPriority w:val="9"/>
    <w:pPr>
      <w:keepNext/>
      <w:keepLines/>
      <w:spacing w:before="280" w:after="290" w:line="376" w:lineRule="auto"/>
      <w:outlineLvl w:val="4"/>
    </w:pPr>
    <w:rPr>
      <w:rFonts w:eastAsia="黑体"/>
      <w:bCs/>
      <w:kern w:val="2"/>
      <w:sz w:val="24"/>
      <w:szCs w:val="28"/>
      <w:lang w:eastAsia="zh-CN"/>
    </w:rPr>
  </w:style>
  <w:style w:type="character" w:default="1" w:styleId="15">
    <w:name w:val="Default Paragraph Font"/>
    <w:autoRedefine/>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pPr>
    <w:rPr>
      <w:rFonts w:ascii="仿宋_GB2312" w:hAnsi="Calibri"/>
      <w:sz w:val="28"/>
    </w:rPr>
  </w:style>
  <w:style w:type="paragraph" w:styleId="3">
    <w:name w:val="Body Text"/>
    <w:basedOn w:val="1"/>
    <w:next w:val="2"/>
    <w:link w:val="26"/>
    <w:qFormat/>
    <w:uiPriority w:val="1"/>
    <w:pPr>
      <w:spacing w:before="33"/>
      <w:ind w:left="106" w:firstLine="640"/>
    </w:pPr>
    <w:rPr>
      <w:rFonts w:ascii="仿宋_GB2312" w:hAnsi="仿宋_GB2312" w:eastAsia="仿宋_GB2312"/>
      <w:sz w:val="32"/>
      <w:szCs w:val="32"/>
    </w:rPr>
  </w:style>
  <w:style w:type="paragraph" w:styleId="5">
    <w:name w:val="Normal Indent"/>
    <w:basedOn w:val="1"/>
    <w:next w:val="6"/>
    <w:qFormat/>
    <w:uiPriority w:val="0"/>
    <w:pPr>
      <w:ind w:firstLine="567"/>
    </w:pPr>
    <w:rPr>
      <w:szCs w:val="21"/>
    </w:rPr>
  </w:style>
  <w:style w:type="paragraph" w:styleId="6">
    <w:name w:val="toc 4"/>
    <w:basedOn w:val="1"/>
    <w:next w:val="1"/>
    <w:qFormat/>
    <w:uiPriority w:val="0"/>
    <w:pPr>
      <w:wordWrap w:val="0"/>
      <w:ind w:left="850"/>
    </w:pPr>
    <w:rPr>
      <w:rFonts w:cs="黑体"/>
    </w:rPr>
  </w:style>
  <w:style w:type="paragraph" w:styleId="7">
    <w:name w:val="annotation text"/>
    <w:basedOn w:val="1"/>
    <w:link w:val="28"/>
    <w:unhideWhenUsed/>
    <w:qFormat/>
    <w:uiPriority w:val="99"/>
  </w:style>
  <w:style w:type="paragraph" w:styleId="8">
    <w:name w:val="Closing"/>
    <w:basedOn w:val="1"/>
    <w:link w:val="32"/>
    <w:qFormat/>
    <w:uiPriority w:val="0"/>
    <w:pPr>
      <w:ind w:left="100" w:leftChars="2100"/>
      <w:jc w:val="both"/>
    </w:pPr>
    <w:rPr>
      <w:rFonts w:ascii="Times New Roman" w:hAnsi="Times New Roman" w:eastAsia="宋体" w:cs="Times New Roman"/>
      <w:sz w:val="20"/>
      <w:szCs w:val="24"/>
      <w:lang w:eastAsia="zh-CN"/>
    </w:rPr>
  </w:style>
  <w:style w:type="paragraph" w:styleId="9">
    <w:name w:val="Balloon Text"/>
    <w:basedOn w:val="1"/>
    <w:link w:val="33"/>
    <w:semiHidden/>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pPr>
    <w:rPr>
      <w:rFonts w:ascii="宋体" w:hAnsi="宋体" w:eastAsia="宋体" w:cs="宋体"/>
      <w:sz w:val="24"/>
      <w:szCs w:val="24"/>
      <w:lang w:eastAsia="zh-CN"/>
    </w:rPr>
  </w:style>
  <w:style w:type="paragraph" w:styleId="13">
    <w:name w:val="annotation subject"/>
    <w:basedOn w:val="7"/>
    <w:next w:val="7"/>
    <w:link w:val="29"/>
    <w:semiHidden/>
    <w:unhideWhenUsed/>
    <w:qFormat/>
    <w:uiPriority w:val="99"/>
    <w:rPr>
      <w:b/>
      <w:bCs/>
    </w:rPr>
  </w:style>
  <w:style w:type="character" w:styleId="16">
    <w:name w:val="Strong"/>
    <w:qFormat/>
    <w:uiPriority w:val="22"/>
    <w:rPr>
      <w:b/>
      <w:bCs/>
    </w:rPr>
  </w:style>
  <w:style w:type="character" w:styleId="17">
    <w:name w:val="FollowedHyperlink"/>
    <w:basedOn w:val="15"/>
    <w:semiHidden/>
    <w:unhideWhenUsed/>
    <w:qFormat/>
    <w:uiPriority w:val="99"/>
    <w:rPr>
      <w:color w:val="800080"/>
      <w:u w:val="single"/>
    </w:rPr>
  </w:style>
  <w:style w:type="character" w:styleId="18">
    <w:name w:val="Emphasis"/>
    <w:basedOn w:val="15"/>
    <w:qFormat/>
    <w:uiPriority w:val="20"/>
    <w:rPr>
      <w:i/>
    </w:rPr>
  </w:style>
  <w:style w:type="character" w:styleId="19">
    <w:name w:val="Hyperlink"/>
    <w:basedOn w:val="15"/>
    <w:semiHidden/>
    <w:unhideWhenUsed/>
    <w:qFormat/>
    <w:uiPriority w:val="99"/>
    <w:rPr>
      <w:color w:val="0000FF"/>
      <w:u w:val="single"/>
    </w:rPr>
  </w:style>
  <w:style w:type="character" w:styleId="20">
    <w:name w:val="annotation reference"/>
    <w:basedOn w:val="15"/>
    <w:semiHidden/>
    <w:unhideWhenUsed/>
    <w:qFormat/>
    <w:uiPriority w:val="99"/>
    <w:rPr>
      <w:sz w:val="21"/>
      <w:szCs w:val="21"/>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style>
  <w:style w:type="paragraph" w:customStyle="1" w:styleId="23">
    <w:name w:val="Table Paragraph"/>
    <w:basedOn w:val="1"/>
    <w:qFormat/>
    <w:uiPriority w:val="1"/>
  </w:style>
  <w:style w:type="character" w:customStyle="1" w:styleId="24">
    <w:name w:val="页眉 Char"/>
    <w:basedOn w:val="15"/>
    <w:link w:val="11"/>
    <w:qFormat/>
    <w:uiPriority w:val="99"/>
    <w:rPr>
      <w:sz w:val="18"/>
      <w:szCs w:val="18"/>
      <w:lang w:eastAsia="en-US"/>
    </w:rPr>
  </w:style>
  <w:style w:type="character" w:customStyle="1" w:styleId="25">
    <w:name w:val="页脚 Char"/>
    <w:basedOn w:val="15"/>
    <w:link w:val="10"/>
    <w:qFormat/>
    <w:uiPriority w:val="99"/>
    <w:rPr>
      <w:sz w:val="18"/>
      <w:szCs w:val="18"/>
      <w:lang w:eastAsia="en-US"/>
    </w:rPr>
  </w:style>
  <w:style w:type="character" w:customStyle="1" w:styleId="26">
    <w:name w:val="正文文本 Char"/>
    <w:basedOn w:val="15"/>
    <w:link w:val="3"/>
    <w:qFormat/>
    <w:uiPriority w:val="1"/>
    <w:rPr>
      <w:rFonts w:ascii="仿宋_GB2312" w:hAnsi="仿宋_GB2312" w:eastAsia="仿宋_GB2312"/>
      <w:sz w:val="32"/>
      <w:szCs w:val="32"/>
      <w:lang w:eastAsia="en-US"/>
    </w:rPr>
  </w:style>
  <w:style w:type="paragraph" w:customStyle="1" w:styleId="27">
    <w:name w:val="修订1"/>
    <w:hidden/>
    <w:semiHidden/>
    <w:qFormat/>
    <w:uiPriority w:val="99"/>
    <w:rPr>
      <w:rFonts w:asciiTheme="minorHAnsi" w:hAnsiTheme="minorHAnsi" w:eastAsiaTheme="minorEastAsia" w:cstheme="minorBidi"/>
      <w:sz w:val="22"/>
      <w:szCs w:val="22"/>
      <w:lang w:val="en-US" w:eastAsia="en-US" w:bidi="ar-SA"/>
    </w:rPr>
  </w:style>
  <w:style w:type="character" w:customStyle="1" w:styleId="28">
    <w:name w:val="批注文字 Char"/>
    <w:basedOn w:val="15"/>
    <w:link w:val="7"/>
    <w:qFormat/>
    <w:uiPriority w:val="99"/>
    <w:rPr>
      <w:sz w:val="22"/>
      <w:szCs w:val="22"/>
      <w:lang w:eastAsia="en-US"/>
    </w:rPr>
  </w:style>
  <w:style w:type="character" w:customStyle="1" w:styleId="29">
    <w:name w:val="批注主题 Char"/>
    <w:basedOn w:val="28"/>
    <w:link w:val="13"/>
    <w:semiHidden/>
    <w:qFormat/>
    <w:uiPriority w:val="99"/>
    <w:rPr>
      <w:b/>
      <w:bCs/>
      <w:sz w:val="22"/>
      <w:szCs w:val="22"/>
      <w:lang w:eastAsia="en-US"/>
    </w:rPr>
  </w:style>
  <w:style w:type="character" w:customStyle="1" w:styleId="30">
    <w:name w:val="标题 5 Char"/>
    <w:basedOn w:val="15"/>
    <w:link w:val="4"/>
    <w:qFormat/>
    <w:uiPriority w:val="9"/>
    <w:rPr>
      <w:rFonts w:eastAsia="黑体"/>
      <w:bCs/>
      <w:kern w:val="2"/>
      <w:sz w:val="24"/>
      <w:szCs w:val="28"/>
    </w:rPr>
  </w:style>
  <w:style w:type="character" w:customStyle="1" w:styleId="31">
    <w:name w:val="结束语 字符"/>
    <w:basedOn w:val="15"/>
    <w:semiHidden/>
    <w:qFormat/>
    <w:uiPriority w:val="99"/>
    <w:rPr>
      <w:sz w:val="22"/>
      <w:szCs w:val="22"/>
      <w:lang w:eastAsia="en-US"/>
    </w:rPr>
  </w:style>
  <w:style w:type="character" w:customStyle="1" w:styleId="32">
    <w:name w:val="结束语 Char"/>
    <w:link w:val="8"/>
    <w:qFormat/>
    <w:uiPriority w:val="0"/>
    <w:rPr>
      <w:rFonts w:ascii="Times New Roman" w:hAnsi="Times New Roman" w:eastAsia="宋体" w:cs="Times New Roman"/>
      <w:szCs w:val="24"/>
    </w:rPr>
  </w:style>
  <w:style w:type="character" w:customStyle="1" w:styleId="33">
    <w:name w:val="批注框文本 Char"/>
    <w:basedOn w:val="15"/>
    <w:link w:val="9"/>
    <w:semiHidden/>
    <w:qFormat/>
    <w:uiPriority w:val="99"/>
    <w:rPr>
      <w:sz w:val="18"/>
      <w:szCs w:val="18"/>
      <w:lang w:eastAsia="en-US"/>
    </w:rPr>
  </w:style>
  <w:style w:type="paragraph" w:customStyle="1" w:styleId="34">
    <w:name w:val="text-tag"/>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5">
    <w:name w:val="Normal (Web)1"/>
    <w:basedOn w:val="1"/>
    <w:qFormat/>
    <w:uiPriority w:val="0"/>
    <w:pPr>
      <w:spacing w:before="100" w:beforeAutospacing="1" w:after="100" w:afterAutospacing="1"/>
    </w:pPr>
    <w:rPr>
      <w:rFonts w:ascii="Calibri" w:hAnsi="Calibri" w:eastAsia="宋体" w:cs="Times New Roman"/>
      <w:sz w:val="24"/>
      <w:szCs w:val="24"/>
      <w:lang w:eastAsia="zh-CN"/>
    </w:rPr>
  </w:style>
  <w:style w:type="paragraph" w:customStyle="1" w:styleId="36">
    <w:name w:val="修订2"/>
    <w:hidden/>
    <w:unhideWhenUsed/>
    <w:qFormat/>
    <w:uiPriority w:val="99"/>
    <w:rPr>
      <w:rFonts w:asciiTheme="minorHAnsi" w:hAnsiTheme="minorHAnsi" w:eastAsiaTheme="minorEastAsia" w:cstheme="minorBidi"/>
      <w:sz w:val="22"/>
      <w:szCs w:val="22"/>
      <w:lang w:val="en-US" w:eastAsia="en-US" w:bidi="ar-SA"/>
    </w:rPr>
  </w:style>
  <w:style w:type="paragraph" w:customStyle="1" w:styleId="37">
    <w:name w:val="修订3"/>
    <w:hidden/>
    <w:unhideWhenUsed/>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tuxin</Company>
  <Pages>18</Pages>
  <Words>1358</Words>
  <Characters>7743</Characters>
  <Lines>64</Lines>
  <Paragraphs>18</Paragraphs>
  <TotalTime>66</TotalTime>
  <ScaleCrop>false</ScaleCrop>
  <LinksUpToDate>false</LinksUpToDate>
  <CharactersWithSpaces>9083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2023-08-09T06:13:00Z</dcterms:created>
  <dc:creator>Administrator</dc:creator>
  <cp:lastModifiedBy>随安</cp:lastModifiedBy>
  <cp:lastPrinted>2024-02-05T07:15:00Z</cp:lastPrinted>
  <dcterms:modified xsi:type="dcterms:W3CDTF">2024-02-26T07:00:15Z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2022-09-04T00:00:00Z</vt:filetime>
  </property>
  <property fmtid="{D5CDD505-2E9C-101B-9397-08002B2CF9AE}" pid="4" name="KSOProductBuildVer">
    <vt:lpwstr>2052-12.1.0.16250</vt:lpwstr>
  </property>
  <property fmtid="{D5CDD505-2E9C-101B-9397-08002B2CF9AE}" pid="5" name="ICV">
    <vt:lpwstr>851E4CADAD7B420C97928DB1F17A6255</vt:lpwstr>
  </property>
</Properties>
</file>