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关于加强</w:t>
      </w:r>
      <w:r>
        <w:rPr>
          <w:rFonts w:hint="eastAsia" w:ascii="方正小标宋简体" w:eastAsia="方正小标宋简体"/>
          <w:sz w:val="44"/>
          <w:szCs w:val="44"/>
          <w:lang w:eastAsia="zh-CN"/>
        </w:rPr>
        <w:t>永嘉县</w:t>
      </w:r>
      <w:r>
        <w:rPr>
          <w:rFonts w:hint="eastAsia" w:ascii="方正小标宋简体" w:eastAsia="方正小标宋简体"/>
          <w:sz w:val="44"/>
          <w:szCs w:val="44"/>
        </w:rPr>
        <w:t>相对低收入家庭综合帮扶</w:t>
      </w:r>
    </w:p>
    <w:p>
      <w:pPr>
        <w:keepNext w:val="0"/>
        <w:keepLines w:val="0"/>
        <w:pageBreakBefore w:val="0"/>
        <w:widowControl/>
        <w:kinsoku/>
        <w:wordWrap/>
        <w:overflowPunct/>
        <w:topLinePunct w:val="0"/>
        <w:autoSpaceDE/>
        <w:autoSpaceDN/>
        <w:bidi w:val="0"/>
        <w:adjustRightInd/>
        <w:snapToGrid/>
        <w:spacing w:line="540" w:lineRule="exact"/>
        <w:ind w:left="1320" w:hanging="1320" w:hangingChars="30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推进共同富裕的若干政策</w:t>
      </w:r>
      <w:r>
        <w:rPr>
          <w:rFonts w:hint="eastAsia" w:ascii="方正小标宋简体" w:eastAsia="方正小标宋简体"/>
          <w:sz w:val="44"/>
          <w:szCs w:val="44"/>
          <w:lang w:eastAsia="zh-CN"/>
        </w:rPr>
        <w:t>的说明</w:t>
      </w:r>
    </w:p>
    <w:bookmarkEnd w:id="0"/>
    <w:p>
      <w:pPr>
        <w:keepNext w:val="0"/>
        <w:keepLines w:val="0"/>
        <w:pageBreakBefore w:val="0"/>
        <w:widowControl/>
        <w:kinsoku/>
        <w:wordWrap/>
        <w:overflowPunct/>
        <w:topLinePunct w:val="0"/>
        <w:autoSpaceDE/>
        <w:autoSpaceDN/>
        <w:bidi w:val="0"/>
        <w:adjustRightInd/>
        <w:snapToGrid/>
        <w:spacing w:line="540" w:lineRule="exact"/>
        <w:ind w:firstLine="3600" w:firstLineChars="1200"/>
        <w:textAlignment w:val="auto"/>
      </w:pPr>
      <w:r>
        <w:rPr>
          <w:rFonts w:hint="eastAsia" w:ascii="楷体_GB2312" w:eastAsia="楷体_GB2312"/>
          <w:sz w:val="30"/>
          <w:szCs w:val="30"/>
        </w:rPr>
        <w:t>（送审稿）</w:t>
      </w:r>
    </w:p>
    <w:p>
      <w:pPr>
        <w:spacing w:line="600" w:lineRule="exact"/>
        <w:ind w:left="420" w:firstLine="217" w:firstLineChars="68"/>
        <w:jc w:val="left"/>
        <w:rPr>
          <w:rFonts w:hint="eastAsia" w:ascii="黑体" w:hAnsi="黑体" w:eastAsia="黑体" w:cs="仿宋_GB2312"/>
          <w:kern w:val="0"/>
          <w:sz w:val="32"/>
          <w:szCs w:val="32"/>
          <w:lang w:val="zh-TW"/>
        </w:rPr>
      </w:pPr>
    </w:p>
    <w:p>
      <w:pPr>
        <w:spacing w:line="600" w:lineRule="exact"/>
        <w:ind w:left="420" w:firstLine="217" w:firstLineChars="68"/>
        <w:jc w:val="left"/>
        <w:rPr>
          <w:rFonts w:hint="eastAsia" w:ascii="黑体" w:hAnsi="黑体" w:eastAsia="黑体" w:cs="仿宋_GB2312"/>
          <w:kern w:val="0"/>
          <w:sz w:val="32"/>
          <w:szCs w:val="32"/>
          <w:lang w:val="zh-TW" w:eastAsia="zh-CN"/>
        </w:rPr>
      </w:pPr>
      <w:r>
        <w:rPr>
          <w:rFonts w:hint="eastAsia" w:ascii="黑体" w:hAnsi="黑体" w:eastAsia="黑体" w:cs="仿宋_GB2312"/>
          <w:kern w:val="0"/>
          <w:sz w:val="32"/>
          <w:szCs w:val="32"/>
          <w:lang w:val="zh-TW"/>
        </w:rPr>
        <w:t>一</w:t>
      </w:r>
      <w:r>
        <w:rPr>
          <w:rFonts w:hint="eastAsia" w:ascii="黑体" w:hAnsi="黑体" w:eastAsia="黑体" w:cs="仿宋_GB2312"/>
          <w:kern w:val="0"/>
          <w:sz w:val="32"/>
          <w:szCs w:val="32"/>
          <w:lang w:val="zh-TW" w:eastAsia="zh-TW"/>
        </w:rPr>
        <w:t>、</w:t>
      </w:r>
      <w:r>
        <w:rPr>
          <w:rFonts w:hint="eastAsia" w:ascii="黑体" w:hAnsi="黑体" w:eastAsia="黑体" w:cs="仿宋_GB2312"/>
          <w:kern w:val="0"/>
          <w:sz w:val="32"/>
          <w:szCs w:val="32"/>
          <w:lang w:val="zh-TW" w:eastAsia="zh-CN"/>
        </w:rPr>
        <w:t>政策背景</w:t>
      </w:r>
    </w:p>
    <w:p>
      <w:pPr>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深入开展低收入家庭综合帮扶集成改革</w:t>
      </w:r>
      <w:r>
        <w:rPr>
          <w:rFonts w:hint="eastAsia" w:ascii="仿宋" w:hAnsi="仿宋" w:eastAsia="仿宋" w:cs="宋体"/>
          <w:kern w:val="0"/>
          <w:sz w:val="32"/>
          <w:szCs w:val="32"/>
          <w:lang w:eastAsia="zh-CN"/>
        </w:rPr>
        <w:t>，高标准实施乡村振兴战略</w:t>
      </w:r>
      <w:r>
        <w:rPr>
          <w:rFonts w:hint="eastAsia" w:ascii="仿宋" w:hAnsi="仿宋" w:eastAsia="仿宋" w:cs="宋体"/>
          <w:kern w:val="0"/>
          <w:sz w:val="32"/>
          <w:szCs w:val="32"/>
        </w:rPr>
        <w:t>是全面贯彻落实党的二十大战略部署，推进“两个先行”、</w:t>
      </w:r>
      <w:r>
        <w:rPr>
          <w:rFonts w:hint="eastAsia" w:ascii="仿宋" w:hAnsi="仿宋" w:eastAsia="仿宋" w:cs="宋体"/>
          <w:kern w:val="0"/>
          <w:sz w:val="32"/>
          <w:szCs w:val="32"/>
          <w:lang w:eastAsia="zh-CN"/>
        </w:rPr>
        <w:t>协调共富“全省示范”</w:t>
      </w:r>
      <w:r>
        <w:rPr>
          <w:rFonts w:hint="eastAsia" w:ascii="仿宋" w:hAnsi="仿宋" w:eastAsia="仿宋" w:cs="宋体"/>
          <w:kern w:val="0"/>
          <w:sz w:val="32"/>
          <w:szCs w:val="32"/>
        </w:rPr>
        <w:t>的重要保障，</w:t>
      </w:r>
      <w:r>
        <w:rPr>
          <w:rFonts w:hint="eastAsia" w:ascii="仿宋" w:hAnsi="仿宋" w:eastAsia="仿宋" w:cs="宋体"/>
          <w:kern w:val="0"/>
          <w:sz w:val="32"/>
          <w:szCs w:val="32"/>
          <w:lang w:eastAsia="zh-CN"/>
        </w:rPr>
        <w:t>围绕“瓯江山水诗路核心地”，在美丽经济育强和美好生活满足中加快共建共治和共享共富</w:t>
      </w:r>
      <w:r>
        <w:rPr>
          <w:rFonts w:hint="eastAsia" w:ascii="仿宋" w:hAnsi="仿宋" w:eastAsia="仿宋" w:cs="宋体"/>
          <w:kern w:val="0"/>
          <w:sz w:val="32"/>
          <w:szCs w:val="32"/>
        </w:rPr>
        <w:t>。</w:t>
      </w:r>
    </w:p>
    <w:p>
      <w:pPr>
        <w:spacing w:line="600" w:lineRule="exact"/>
        <w:ind w:left="420" w:firstLine="217" w:firstLineChars="68"/>
        <w:jc w:val="left"/>
        <w:rPr>
          <w:rFonts w:ascii="黑体" w:hAnsi="黑体" w:eastAsia="黑体" w:cs="仿宋_GB2312"/>
          <w:kern w:val="0"/>
          <w:sz w:val="32"/>
          <w:szCs w:val="32"/>
          <w:lang w:val="zh-TW"/>
        </w:rPr>
      </w:pPr>
      <w:r>
        <w:rPr>
          <w:rFonts w:hint="eastAsia" w:ascii="黑体" w:hAnsi="黑体" w:eastAsia="黑体" w:cs="仿宋_GB2312"/>
          <w:kern w:val="0"/>
          <w:sz w:val="32"/>
          <w:szCs w:val="32"/>
          <w:lang w:val="zh-TW"/>
        </w:rPr>
        <w:t>二、明确改革内容</w:t>
      </w:r>
    </w:p>
    <w:p>
      <w:pPr>
        <w:spacing w:line="576" w:lineRule="exact"/>
        <w:ind w:firstLine="640" w:firstLineChars="200"/>
        <w:rPr>
          <w:rFonts w:ascii="仿宋_GB2312" w:hAnsi="仿宋_GB2312" w:eastAsia="仿宋_GB2312" w:cs="仿宋_GB2312"/>
          <w:sz w:val="32"/>
          <w:szCs w:val="32"/>
        </w:rPr>
      </w:pPr>
      <w:r>
        <w:rPr>
          <w:rFonts w:hint="eastAsia" w:ascii="仿宋" w:hAnsi="仿宋" w:eastAsia="仿宋" w:cs="宋体"/>
          <w:kern w:val="0"/>
          <w:sz w:val="32"/>
          <w:szCs w:val="32"/>
        </w:rPr>
        <w:t>低收入家庭综合帮扶集成改革主要针对现阶段群众“急、愁、盼、难”四个目标，</w:t>
      </w:r>
      <w:r>
        <w:rPr>
          <w:rFonts w:hint="eastAsia" w:ascii="仿宋" w:hAnsi="仿宋" w:eastAsia="仿宋" w:cs="宋体"/>
          <w:kern w:val="0"/>
          <w:sz w:val="32"/>
          <w:szCs w:val="32"/>
          <w:lang w:eastAsia="zh-CN"/>
        </w:rPr>
        <w:t>全面整合救助</w:t>
      </w:r>
      <w:r>
        <w:rPr>
          <w:rFonts w:hint="eastAsia" w:ascii="仿宋" w:hAnsi="仿宋" w:eastAsia="仿宋" w:cs="仿宋_GB2312"/>
          <w:kern w:val="0"/>
          <w:sz w:val="32"/>
          <w:szCs w:val="32"/>
          <w:lang w:val="zh-TW"/>
        </w:rPr>
        <w:t>帮扶</w:t>
      </w:r>
      <w:r>
        <w:rPr>
          <w:rFonts w:hint="eastAsia" w:ascii="仿宋" w:hAnsi="仿宋" w:eastAsia="仿宋" w:cs="仿宋_GB2312"/>
          <w:kern w:val="0"/>
          <w:sz w:val="32"/>
          <w:szCs w:val="32"/>
          <w:lang w:val="zh-TW" w:eastAsia="zh-CN"/>
        </w:rPr>
        <w:t>政策和帮扶</w:t>
      </w:r>
      <w:r>
        <w:rPr>
          <w:rFonts w:hint="eastAsia" w:ascii="仿宋" w:hAnsi="仿宋" w:eastAsia="仿宋" w:cs="仿宋_GB2312"/>
          <w:kern w:val="0"/>
          <w:sz w:val="32"/>
          <w:szCs w:val="32"/>
          <w:lang w:val="zh-TW"/>
        </w:rPr>
        <w:t>项目</w:t>
      </w:r>
      <w:r>
        <w:rPr>
          <w:rFonts w:hint="eastAsia" w:ascii="仿宋_GB2312" w:hAnsi="仿宋_GB2312" w:eastAsia="仿宋_GB2312" w:cs="仿宋_GB2312"/>
          <w:sz w:val="32"/>
          <w:szCs w:val="32"/>
        </w:rPr>
        <w:t>共计7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项，涵盖</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个部门，</w:t>
      </w:r>
      <w:r>
        <w:rPr>
          <w:rFonts w:hint="eastAsia" w:ascii="仿宋" w:hAnsi="仿宋" w:eastAsia="仿宋" w:cs="宋体"/>
          <w:kern w:val="0"/>
          <w:sz w:val="32"/>
          <w:szCs w:val="32"/>
        </w:rPr>
        <w:t>分别从加强生活保障、</w:t>
      </w:r>
      <w:r>
        <w:rPr>
          <w:rFonts w:hint="eastAsia" w:ascii="仿宋" w:hAnsi="仿宋" w:eastAsia="仿宋" w:cs="仿宋_GB2312"/>
          <w:kern w:val="0"/>
          <w:sz w:val="32"/>
          <w:szCs w:val="32"/>
          <w:lang w:val="zh-TW" w:eastAsia="zh-TW"/>
        </w:rPr>
        <w:t>推进安居工程</w:t>
      </w:r>
      <w:r>
        <w:rPr>
          <w:rFonts w:hint="eastAsia" w:ascii="仿宋" w:hAnsi="仿宋" w:eastAsia="仿宋" w:cs="仿宋_GB2312"/>
          <w:kern w:val="0"/>
          <w:sz w:val="32"/>
          <w:szCs w:val="32"/>
          <w:lang w:val="zh-TW"/>
        </w:rPr>
        <w:t>、</w:t>
      </w:r>
      <w:r>
        <w:rPr>
          <w:rFonts w:hint="eastAsia" w:ascii="仿宋" w:hAnsi="仿宋" w:eastAsia="仿宋" w:cs="仿宋_GB2312"/>
          <w:kern w:val="0"/>
          <w:sz w:val="32"/>
          <w:szCs w:val="32"/>
          <w:lang w:val="zh-TW" w:eastAsia="zh-TW"/>
        </w:rPr>
        <w:t>强化医疗救助</w:t>
      </w:r>
      <w:r>
        <w:rPr>
          <w:rFonts w:hint="eastAsia" w:ascii="仿宋" w:hAnsi="仿宋" w:eastAsia="仿宋" w:cs="仿宋_GB2312"/>
          <w:kern w:val="0"/>
          <w:sz w:val="32"/>
          <w:szCs w:val="32"/>
          <w:lang w:val="zh-TW"/>
        </w:rPr>
        <w:t>、</w:t>
      </w:r>
      <w:r>
        <w:rPr>
          <w:rFonts w:hint="eastAsia" w:ascii="仿宋" w:hAnsi="仿宋" w:eastAsia="仿宋" w:cs="仿宋_GB2312"/>
          <w:kern w:val="0"/>
          <w:sz w:val="32"/>
          <w:szCs w:val="32"/>
          <w:lang w:val="zh-TW" w:eastAsia="zh-TW"/>
        </w:rPr>
        <w:t>共享均衡教育</w:t>
      </w:r>
      <w:r>
        <w:rPr>
          <w:rFonts w:hint="eastAsia" w:ascii="仿宋" w:hAnsi="仿宋" w:eastAsia="仿宋" w:cs="仿宋_GB2312"/>
          <w:kern w:val="0"/>
          <w:sz w:val="32"/>
          <w:szCs w:val="32"/>
          <w:lang w:val="zh-TW"/>
        </w:rPr>
        <w:t>、</w:t>
      </w:r>
      <w:r>
        <w:rPr>
          <w:rFonts w:hint="eastAsia" w:ascii="仿宋" w:hAnsi="仿宋" w:eastAsia="仿宋" w:cs="仿宋_GB2312"/>
          <w:kern w:val="0"/>
          <w:sz w:val="32"/>
          <w:szCs w:val="32"/>
          <w:lang w:val="zh-TW" w:eastAsia="zh-TW"/>
        </w:rPr>
        <w:t>生活支出减免</w:t>
      </w:r>
      <w:r>
        <w:rPr>
          <w:rFonts w:hint="eastAsia" w:ascii="仿宋" w:hAnsi="仿宋" w:eastAsia="仿宋" w:cs="仿宋_GB2312"/>
          <w:kern w:val="0"/>
          <w:sz w:val="32"/>
          <w:szCs w:val="32"/>
          <w:lang w:val="zh-TW"/>
        </w:rPr>
        <w:t>、</w:t>
      </w:r>
      <w:r>
        <w:rPr>
          <w:rFonts w:hint="eastAsia" w:ascii="仿宋" w:hAnsi="仿宋" w:eastAsia="仿宋" w:cs="仿宋_GB2312"/>
          <w:kern w:val="0"/>
          <w:sz w:val="32"/>
          <w:szCs w:val="32"/>
          <w:lang w:val="zh-TW" w:eastAsia="zh-TW"/>
        </w:rPr>
        <w:t>支持就业创业</w:t>
      </w:r>
      <w:r>
        <w:rPr>
          <w:rFonts w:hint="eastAsia" w:ascii="仿宋" w:hAnsi="仿宋" w:eastAsia="仿宋" w:cs="仿宋_GB2312"/>
          <w:kern w:val="0"/>
          <w:sz w:val="32"/>
          <w:szCs w:val="32"/>
          <w:lang w:val="zh-TW"/>
        </w:rPr>
        <w:t>、</w:t>
      </w:r>
      <w:r>
        <w:rPr>
          <w:rFonts w:hint="eastAsia" w:ascii="仿宋" w:hAnsi="仿宋" w:eastAsia="仿宋" w:cs="仿宋_GB2312"/>
          <w:kern w:val="0"/>
          <w:sz w:val="32"/>
          <w:szCs w:val="32"/>
          <w:lang w:val="zh-TW" w:eastAsia="zh-TW"/>
        </w:rPr>
        <w:t>提供公共服务</w:t>
      </w:r>
      <w:r>
        <w:rPr>
          <w:rFonts w:hint="eastAsia" w:ascii="仿宋" w:hAnsi="仿宋" w:eastAsia="仿宋" w:cs="仿宋_GB2312"/>
          <w:kern w:val="0"/>
          <w:sz w:val="32"/>
          <w:szCs w:val="32"/>
          <w:lang w:val="zh-TW" w:eastAsia="zh-CN"/>
        </w:rPr>
        <w:t>、社会力量参与</w:t>
      </w:r>
      <w:r>
        <w:rPr>
          <w:rFonts w:hint="eastAsia" w:ascii="仿宋" w:hAnsi="仿宋" w:eastAsia="仿宋" w:cs="仿宋_GB2312"/>
          <w:kern w:val="0"/>
          <w:sz w:val="32"/>
          <w:szCs w:val="32"/>
          <w:lang w:val="zh-TW"/>
        </w:rPr>
        <w:t>等方式进行政策归集和改革。</w:t>
      </w:r>
    </w:p>
    <w:p>
      <w:pPr>
        <w:spacing w:line="600" w:lineRule="exact"/>
        <w:ind w:firstLine="640" w:firstLineChars="200"/>
        <w:jc w:val="left"/>
        <w:rPr>
          <w:rFonts w:ascii="黑体" w:hAnsi="黑体" w:eastAsia="黑体" w:cs="仿宋_GB2312"/>
          <w:kern w:val="0"/>
          <w:sz w:val="32"/>
          <w:szCs w:val="32"/>
          <w:lang w:val="zh-TW"/>
        </w:rPr>
      </w:pPr>
      <w:r>
        <w:rPr>
          <w:rFonts w:hint="eastAsia" w:ascii="黑体" w:hAnsi="黑体" w:eastAsia="黑体" w:cs="仿宋_GB2312"/>
          <w:kern w:val="0"/>
          <w:sz w:val="32"/>
          <w:szCs w:val="32"/>
          <w:lang w:val="zh-TW"/>
        </w:rPr>
        <w:t>三、加强组织领导</w:t>
      </w:r>
    </w:p>
    <w:p>
      <w:pPr>
        <w:pStyle w:val="10"/>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县</w:t>
      </w:r>
      <w:r>
        <w:rPr>
          <w:rFonts w:hint="eastAsia" w:ascii="仿宋" w:hAnsi="仿宋" w:eastAsia="仿宋"/>
          <w:sz w:val="32"/>
          <w:szCs w:val="32"/>
        </w:rPr>
        <w:t>民政部门牵头负责全</w:t>
      </w:r>
      <w:r>
        <w:rPr>
          <w:rFonts w:hint="eastAsia" w:ascii="仿宋" w:hAnsi="仿宋" w:eastAsia="仿宋"/>
          <w:sz w:val="32"/>
          <w:szCs w:val="32"/>
          <w:lang w:eastAsia="zh-CN"/>
        </w:rPr>
        <w:t>县</w:t>
      </w:r>
      <w:r>
        <w:rPr>
          <w:rFonts w:hint="eastAsia" w:ascii="仿宋" w:hAnsi="仿宋" w:eastAsia="仿宋"/>
          <w:sz w:val="32"/>
          <w:szCs w:val="32"/>
        </w:rPr>
        <w:t>相对低收入家庭资格确定、救助体系建设、救助帮扶联合体实体运行、兜底保障政策的制定、解释、监督工作；其他各职责单位按照等各自工作职责做好综合帮扶政策举措解释和落实工作。各镇街负责辖区内相对低收入家庭的申请、审核、档案管理和综合帮扶资源统筹对接等工作，并发挥社会工作服务机构和社会工作者作用，为相对低收入家庭对象提供社会融入、能力提升、心理疏导等专业服务。村(社)协助镇街人做好城乡低收入家庭收入核定、困难需求排摸等工作。</w:t>
      </w:r>
    </w:p>
    <w:p>
      <w:pPr>
        <w:pStyle w:val="10"/>
        <w:spacing w:line="600" w:lineRule="exact"/>
        <w:ind w:firstLine="640" w:firstLineChars="200"/>
        <w:rPr>
          <w:rFonts w:hint="eastAsia" w:ascii="仿宋" w:hAnsi="仿宋" w:eastAsia="仿宋"/>
          <w:sz w:val="32"/>
          <w:szCs w:val="32"/>
        </w:rPr>
      </w:pPr>
    </w:p>
    <w:p>
      <w:pPr>
        <w:pStyle w:val="10"/>
        <w:spacing w:before="0" w:beforeAutospacing="0" w:after="0" w:afterAutospacing="0" w:line="600" w:lineRule="exact"/>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永嘉县人民政府</w:t>
      </w:r>
    </w:p>
    <w:p>
      <w:pPr>
        <w:pStyle w:val="10"/>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2022年11月</w:t>
      </w:r>
      <w:r>
        <w:rPr>
          <w:rFonts w:hint="eastAsia" w:ascii="仿宋" w:hAnsi="仿宋" w:eastAsia="仿宋"/>
          <w:sz w:val="32"/>
          <w:szCs w:val="32"/>
          <w:lang w:val="en-US" w:eastAsia="zh-CN"/>
        </w:rPr>
        <w:t>29</w:t>
      </w:r>
      <w:r>
        <w:rPr>
          <w:rFonts w:hint="eastAsia" w:ascii="仿宋" w:hAnsi="仿宋" w:eastAsia="仿宋"/>
          <w:sz w:val="32"/>
          <w:szCs w:val="32"/>
        </w:rPr>
        <w:t>日</w:t>
      </w:r>
    </w:p>
    <w:p>
      <w:pPr>
        <w:pStyle w:val="10"/>
        <w:spacing w:line="600" w:lineRule="exact"/>
        <w:jc w:val="both"/>
        <w:rPr>
          <w:rFonts w:hint="eastAsia" w:ascii="黑体" w:hAnsi="黑体" w:eastAsia="黑体"/>
          <w:b/>
          <w:sz w:val="44"/>
          <w:szCs w:val="44"/>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eastAsia" w:ascii="仿宋_GB2312" w:hAnsi="仿宋_GB2312" w:eastAsia="仿宋_GB2312" w:cs="仿宋_GB2312"/>
          <w:b w:val="0"/>
          <w:bCs/>
          <w:sz w:val="32"/>
          <w:szCs w:val="32"/>
          <w:lang w:eastAsia="zh-CN"/>
        </w:rPr>
      </w:pPr>
    </w:p>
    <w:p>
      <w:pPr>
        <w:pStyle w:val="10"/>
        <w:spacing w:line="600" w:lineRule="exact"/>
        <w:jc w:val="left"/>
        <w:rPr>
          <w:rFonts w:hint="default" w:ascii="文星简小标宋" w:eastAsia="文星简小标宋"/>
          <w:spacing w:val="-4"/>
          <w:sz w:val="32"/>
          <w:szCs w:val="32"/>
          <w:lang w:val="en-US" w:eastAsia="zh-CN"/>
        </w:rPr>
      </w:pPr>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2010609000101010101"/>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right="210" w:rightChars="100"/>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ind w:right="210" w:rightChars="100"/>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- 3 -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MGQwZGY0ZDA0ZGQ2MGI1OGY3YTQ2NWFmMjRkM2YifQ=="/>
  </w:docVars>
  <w:rsids>
    <w:rsidRoot w:val="00172A27"/>
    <w:rsid w:val="02AB604F"/>
    <w:rsid w:val="02AC671E"/>
    <w:rsid w:val="04216813"/>
    <w:rsid w:val="0512295B"/>
    <w:rsid w:val="08F53CBC"/>
    <w:rsid w:val="0A3168BF"/>
    <w:rsid w:val="0BAA76BA"/>
    <w:rsid w:val="122D0B7D"/>
    <w:rsid w:val="134B6F5B"/>
    <w:rsid w:val="1474207A"/>
    <w:rsid w:val="15040B92"/>
    <w:rsid w:val="157940AA"/>
    <w:rsid w:val="1626332B"/>
    <w:rsid w:val="16C6137D"/>
    <w:rsid w:val="17001947"/>
    <w:rsid w:val="1880251F"/>
    <w:rsid w:val="1B450B4C"/>
    <w:rsid w:val="1BFC1B23"/>
    <w:rsid w:val="1D3D5564"/>
    <w:rsid w:val="1E687393"/>
    <w:rsid w:val="1FF6C5BF"/>
    <w:rsid w:val="21D006F0"/>
    <w:rsid w:val="22315AA5"/>
    <w:rsid w:val="22A1537D"/>
    <w:rsid w:val="23E671AF"/>
    <w:rsid w:val="26022774"/>
    <w:rsid w:val="28EE7F5F"/>
    <w:rsid w:val="296F5AFD"/>
    <w:rsid w:val="2A3975BB"/>
    <w:rsid w:val="2BB72DC3"/>
    <w:rsid w:val="2C0C3565"/>
    <w:rsid w:val="2D5B20F2"/>
    <w:rsid w:val="334920C2"/>
    <w:rsid w:val="33942B6E"/>
    <w:rsid w:val="34557B15"/>
    <w:rsid w:val="34BE1C4C"/>
    <w:rsid w:val="38092453"/>
    <w:rsid w:val="3B4514F4"/>
    <w:rsid w:val="3CF024F5"/>
    <w:rsid w:val="3D3D69F4"/>
    <w:rsid w:val="3E415D8B"/>
    <w:rsid w:val="40AF6DEE"/>
    <w:rsid w:val="428629D4"/>
    <w:rsid w:val="44790090"/>
    <w:rsid w:val="48D17A90"/>
    <w:rsid w:val="48D60953"/>
    <w:rsid w:val="4CD64D6B"/>
    <w:rsid w:val="4FEBF8AC"/>
    <w:rsid w:val="504371B5"/>
    <w:rsid w:val="531D13B6"/>
    <w:rsid w:val="5341447D"/>
    <w:rsid w:val="54923067"/>
    <w:rsid w:val="54B56951"/>
    <w:rsid w:val="57B40248"/>
    <w:rsid w:val="598B35E1"/>
    <w:rsid w:val="5A6C23B1"/>
    <w:rsid w:val="5E1F0AFF"/>
    <w:rsid w:val="5E587656"/>
    <w:rsid w:val="5F84325C"/>
    <w:rsid w:val="5F960BD4"/>
    <w:rsid w:val="5FE43124"/>
    <w:rsid w:val="5FED1FD7"/>
    <w:rsid w:val="61526ECA"/>
    <w:rsid w:val="61A9798B"/>
    <w:rsid w:val="62786678"/>
    <w:rsid w:val="646F1F04"/>
    <w:rsid w:val="662D72AA"/>
    <w:rsid w:val="67494A8F"/>
    <w:rsid w:val="69C2524B"/>
    <w:rsid w:val="6B214023"/>
    <w:rsid w:val="6B7E29B5"/>
    <w:rsid w:val="6D544640"/>
    <w:rsid w:val="6ED7724B"/>
    <w:rsid w:val="6EFFD3D6"/>
    <w:rsid w:val="6FE535B8"/>
    <w:rsid w:val="70B757D8"/>
    <w:rsid w:val="710772AC"/>
    <w:rsid w:val="748E37D1"/>
    <w:rsid w:val="784F56B1"/>
    <w:rsid w:val="7899166B"/>
    <w:rsid w:val="7B820BC6"/>
    <w:rsid w:val="7BCC1175"/>
    <w:rsid w:val="7BF6C55D"/>
    <w:rsid w:val="7C6332F1"/>
    <w:rsid w:val="7CF7F077"/>
    <w:rsid w:val="7D955883"/>
    <w:rsid w:val="7E3CA77A"/>
    <w:rsid w:val="7F340146"/>
    <w:rsid w:val="7F5F99D5"/>
    <w:rsid w:val="7F97A358"/>
    <w:rsid w:val="95FFFFFC"/>
    <w:rsid w:val="AFB5CF5F"/>
    <w:rsid w:val="BFFFAF1D"/>
    <w:rsid w:val="D38E2207"/>
    <w:rsid w:val="DBFF0685"/>
    <w:rsid w:val="DD6B9ABD"/>
    <w:rsid w:val="DDDF47FC"/>
    <w:rsid w:val="DDEF11DF"/>
    <w:rsid w:val="F2BFBE5D"/>
    <w:rsid w:val="F5F5C8F6"/>
    <w:rsid w:val="F7F71EA3"/>
    <w:rsid w:val="F7FF4E6D"/>
    <w:rsid w:val="FCDCBEBF"/>
    <w:rsid w:val="FFAFBC26"/>
    <w:rsid w:val="FFF7EF9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方正大标宋简体"/>
      <w:kern w:val="32"/>
      <w:sz w:val="144"/>
      <w:szCs w:val="20"/>
    </w:rPr>
  </w:style>
  <w:style w:type="paragraph" w:styleId="3">
    <w:name w:val="Body Text First Indent"/>
    <w:basedOn w:val="2"/>
    <w:next w:val="1"/>
    <w:qFormat/>
    <w:uiPriority w:val="99"/>
    <w:pPr>
      <w:adjustRightInd w:val="0"/>
      <w:spacing w:line="600" w:lineRule="atLeast"/>
      <w:ind w:firstLine="652"/>
      <w:textAlignment w:val="baseline"/>
    </w:pPr>
    <w:rPr>
      <w:rFonts w:eastAsia="仿宋_GB2312"/>
    </w:rPr>
  </w:style>
  <w:style w:type="paragraph" w:styleId="4">
    <w:name w:val="annotation text"/>
    <w:basedOn w:val="1"/>
    <w:qFormat/>
    <w:uiPriority w:val="0"/>
    <w:pPr>
      <w:jc w:val="left"/>
    </w:pPr>
  </w:style>
  <w:style w:type="paragraph" w:styleId="5">
    <w:name w:val="Body Text Indent"/>
    <w:basedOn w:val="1"/>
    <w:qFormat/>
    <w:uiPriority w:val="0"/>
    <w:pPr>
      <w:tabs>
        <w:tab w:val="center" w:pos="4153"/>
        <w:tab w:val="right" w:pos="8306"/>
      </w:tabs>
      <w:ind w:firstLine="570"/>
      <w:jc w:val="center"/>
    </w:pPr>
    <w:rPr>
      <w:rFonts w:eastAsia="黑体"/>
      <w:sz w:val="44"/>
    </w:rPr>
  </w:style>
  <w:style w:type="paragraph" w:styleId="6">
    <w:name w:val="Date"/>
    <w:basedOn w:val="1"/>
    <w:next w:val="1"/>
    <w:qFormat/>
    <w:uiPriority w:val="0"/>
    <w:pPr>
      <w:ind w:left="100" w:leftChars="2500"/>
    </w:pPr>
  </w:style>
  <w:style w:type="paragraph" w:styleId="7">
    <w:name w:val="endnote text"/>
    <w:basedOn w:val="1"/>
    <w:semiHidden/>
    <w:qFormat/>
    <w:uiPriority w:val="0"/>
    <w:pPr>
      <w:snapToGrid w:val="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spacing w:line="240" w:lineRule="auto"/>
    </w:pPr>
    <w:rPr>
      <w:rFonts w:ascii="Calibri" w:hAnsi="Calibri" w:eastAsia="宋体"/>
      <w:spacing w:val="0"/>
      <w:sz w:val="24"/>
      <w:szCs w:val="24"/>
      <w:lang w:bidi="ar-SA"/>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929393"/>
      <w:u w:val="single"/>
    </w:rPr>
  </w:style>
  <w:style w:type="character" w:styleId="16">
    <w:name w:val="Hyperlink"/>
    <w:basedOn w:val="13"/>
    <w:qFormat/>
    <w:uiPriority w:val="0"/>
    <w:rPr>
      <w:color w:val="0563C1" w:themeColor="hyperlink"/>
      <w:u w:val="single"/>
      <w14:textFill>
        <w14:solidFill>
          <w14:schemeClr w14:val="hlink"/>
        </w14:solidFill>
      </w14:textFill>
    </w:rPr>
  </w:style>
  <w:style w:type="character" w:customStyle="1" w:styleId="17">
    <w:name w:val="font41"/>
    <w:basedOn w:val="13"/>
    <w:qFormat/>
    <w:uiPriority w:val="0"/>
    <w:rPr>
      <w:rFonts w:hint="eastAsia" w:ascii="宋体" w:hAnsi="宋体" w:eastAsia="宋体" w:cs="宋体"/>
      <w:color w:val="000000"/>
      <w:sz w:val="24"/>
      <w:szCs w:val="24"/>
      <w:u w:val="none"/>
    </w:rPr>
  </w:style>
  <w:style w:type="character" w:customStyle="1" w:styleId="18">
    <w:name w:val="font81"/>
    <w:basedOn w:val="13"/>
    <w:qFormat/>
    <w:uiPriority w:val="0"/>
    <w:rPr>
      <w:rFonts w:hint="eastAsia" w:ascii="宋体" w:hAnsi="宋体" w:eastAsia="宋体" w:cs="宋体"/>
      <w:color w:val="000000"/>
      <w:sz w:val="24"/>
      <w:szCs w:val="24"/>
      <w:u w:val="single"/>
    </w:rPr>
  </w:style>
  <w:style w:type="character" w:customStyle="1" w:styleId="19">
    <w:name w:val="font11"/>
    <w:basedOn w:val="13"/>
    <w:qFormat/>
    <w:uiPriority w:val="0"/>
    <w:rPr>
      <w:rFonts w:hint="eastAsia" w:ascii="宋体" w:hAnsi="宋体" w:eastAsia="宋体" w:cs="宋体"/>
      <w:color w:val="000000"/>
      <w:sz w:val="24"/>
      <w:szCs w:val="24"/>
      <w:u w:val="single"/>
    </w:rPr>
  </w:style>
  <w:style w:type="character" w:customStyle="1" w:styleId="20">
    <w:name w:val="font01"/>
    <w:basedOn w:val="13"/>
    <w:qFormat/>
    <w:uiPriority w:val="0"/>
    <w:rPr>
      <w:rFonts w:hint="eastAsia" w:ascii="宋体" w:hAnsi="宋体" w:eastAsia="宋体" w:cs="宋体"/>
      <w:color w:val="000000"/>
      <w:sz w:val="24"/>
      <w:szCs w:val="24"/>
      <w:u w:val="none"/>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文件"/>
    <w:basedOn w:val="1"/>
    <w:qFormat/>
    <w:uiPriority w:val="0"/>
    <w:pPr>
      <w:adjustRightInd w:val="0"/>
      <w:snapToGrid w:val="0"/>
      <w:spacing w:line="336" w:lineRule="auto"/>
      <w:ind w:firstLine="658"/>
    </w:pPr>
    <w:rPr>
      <w:rFonts w:ascii="汉仪仿宋简" w:eastAsia="汉仪仿宋简"/>
      <w:spacing w:val="-3"/>
      <w:sz w:val="32"/>
    </w:rPr>
  </w:style>
  <w:style w:type="paragraph" w:customStyle="1" w:styleId="23">
    <w:name w:val="正文文本3"/>
    <w:basedOn w:val="1"/>
    <w:qFormat/>
    <w:uiPriority w:val="0"/>
    <w:pPr>
      <w:widowControl w:val="0"/>
      <w:shd w:val="clear" w:color="auto" w:fill="FFFFFF"/>
      <w:spacing w:line="284" w:lineRule="exact"/>
      <w:jc w:val="distribute"/>
    </w:pPr>
    <w:rPr>
      <w:rFonts w:ascii="宋体" w:hAnsi="宋体"/>
      <w:sz w:val="15"/>
      <w:szCs w:val="15"/>
      <w:shd w:val="clear" w:color="auto" w:fill="FFFFFF"/>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9072</Words>
  <Characters>9365</Characters>
  <Lines>0</Lines>
  <Paragraphs>0</Paragraphs>
  <TotalTime>8</TotalTime>
  <ScaleCrop>false</ScaleCrop>
  <LinksUpToDate>false</LinksUpToDate>
  <CharactersWithSpaces>9474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greatwall</cp:lastModifiedBy>
  <cp:lastPrinted>2022-12-10T22:51:00Z</cp:lastPrinted>
  <dcterms:modified xsi:type="dcterms:W3CDTF">2023-01-10T15:18:56Z</dcterms:modified>
  <dc:title>关于征求《关于调整市区支宁返温人员固定生活补助金标准的通知（征求意见稿）》意见的通知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95977C2918C64018B0CFF1F653179BD1</vt:lpwstr>
  </property>
</Properties>
</file>