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173" w:firstLineChars="62"/>
        <w:jc w:val="center"/>
        <w:rPr>
          <w:rFonts w:hint="eastAsia" w:ascii="仿宋_GB2312" w:hAnsi="宋体" w:eastAsia="仿宋_GB2312"/>
          <w:b/>
          <w:kern w:val="0"/>
          <w:sz w:val="28"/>
        </w:rPr>
      </w:pPr>
      <w:bookmarkStart w:id="94" w:name="_GoBack"/>
      <w:bookmarkEnd w:id="94"/>
    </w:p>
    <w:p>
      <w:pPr>
        <w:snapToGrid w:val="0"/>
        <w:ind w:firstLine="173" w:firstLineChars="62"/>
        <w:jc w:val="center"/>
        <w:rPr>
          <w:rFonts w:hint="eastAsia" w:ascii="仿宋_GB2312" w:hAnsi="宋体" w:eastAsia="仿宋_GB2312"/>
          <w:b/>
          <w:kern w:val="0"/>
          <w:sz w:val="28"/>
        </w:rPr>
      </w:pPr>
    </w:p>
    <w:p>
      <w:pPr>
        <w:snapToGrid w:val="0"/>
        <w:ind w:firstLine="173" w:firstLineChars="62"/>
        <w:jc w:val="center"/>
        <w:rPr>
          <w:rFonts w:hint="eastAsia" w:ascii="仿宋_GB2312" w:hAnsi="宋体" w:eastAsia="仿宋_GB2312"/>
          <w:b/>
          <w:kern w:val="0"/>
          <w:sz w:val="28"/>
        </w:rPr>
      </w:pPr>
    </w:p>
    <w:p>
      <w:pPr>
        <w:snapToGrid w:val="0"/>
        <w:ind w:firstLine="173" w:firstLineChars="62"/>
        <w:jc w:val="center"/>
        <w:rPr>
          <w:rFonts w:hint="eastAsia" w:ascii="仿宋_GB2312" w:hAnsi="宋体" w:eastAsia="仿宋_GB2312"/>
          <w:b/>
          <w:kern w:val="0"/>
          <w:sz w:val="28"/>
        </w:rPr>
      </w:pPr>
    </w:p>
    <w:p>
      <w:pPr>
        <w:snapToGrid w:val="0"/>
        <w:ind w:firstLine="173" w:firstLineChars="62"/>
        <w:jc w:val="center"/>
        <w:rPr>
          <w:rFonts w:hint="eastAsia" w:ascii="仿宋_GB2312" w:hAnsi="宋体" w:eastAsia="仿宋_GB2312"/>
          <w:b/>
          <w:kern w:val="0"/>
          <w:sz w:val="28"/>
        </w:rPr>
      </w:pPr>
    </w:p>
    <w:p>
      <w:pPr>
        <w:snapToGrid w:val="0"/>
        <w:jc w:val="center"/>
        <w:rPr>
          <w:rFonts w:hint="eastAsia" w:ascii="华文中宋" w:hAnsi="华文中宋" w:eastAsia="华文中宋"/>
          <w:b/>
          <w:kern w:val="0"/>
          <w:sz w:val="52"/>
          <w:lang w:val="en-GB"/>
        </w:rPr>
      </w:pPr>
    </w:p>
    <w:p>
      <w:pPr>
        <w:snapToGrid w:val="0"/>
        <w:jc w:val="center"/>
        <w:rPr>
          <w:rFonts w:hint="eastAsia" w:ascii="华文中宋" w:hAnsi="华文中宋" w:eastAsia="华文中宋"/>
          <w:b/>
          <w:kern w:val="0"/>
          <w:sz w:val="52"/>
          <w:lang w:val="en-GB"/>
        </w:rPr>
      </w:pPr>
    </w:p>
    <w:p>
      <w:pPr>
        <w:snapToGrid w:val="0"/>
        <w:jc w:val="center"/>
        <w:rPr>
          <w:rFonts w:hint="eastAsia" w:ascii="华文中宋" w:hAnsi="华文中宋" w:eastAsia="华文中宋"/>
          <w:sz w:val="52"/>
        </w:rPr>
      </w:pPr>
      <w:r>
        <w:rPr>
          <w:rFonts w:hint="eastAsia" w:ascii="华文中宋" w:hAnsi="华文中宋" w:eastAsia="华文中宋"/>
          <w:b/>
          <w:kern w:val="0"/>
          <w:sz w:val="52"/>
          <w:lang w:val="en-GB"/>
        </w:rPr>
        <w:t>低 压 供 用 电 合 同</w:t>
      </w:r>
    </w:p>
    <w:p>
      <w:pPr>
        <w:spacing w:before="120" w:beforeLines="0" w:beforeAutospacing="0"/>
        <w:jc w:val="center"/>
        <w:rPr>
          <w:rFonts w:hint="eastAsia" w:ascii="仿宋_GB2312" w:hAnsi="方正仿宋_GBK" w:eastAsia="仿宋_GB2312"/>
          <w:sz w:val="28"/>
        </w:rPr>
      </w:pPr>
    </w:p>
    <w:p>
      <w:pPr>
        <w:spacing w:before="120" w:beforeLines="0" w:beforeAutospacing="0"/>
        <w:jc w:val="center"/>
        <w:rPr>
          <w:rFonts w:hint="eastAsia" w:ascii="仿宋_GB2312" w:hAnsi="方正仿宋_GBK" w:eastAsia="仿宋_GB2312"/>
          <w:sz w:val="28"/>
        </w:rPr>
      </w:pPr>
    </w:p>
    <w:p>
      <w:pPr>
        <w:spacing w:before="120" w:beforeLines="0" w:beforeAutospacing="0"/>
        <w:jc w:val="center"/>
        <w:rPr>
          <w:rFonts w:hint="eastAsia" w:ascii="仿宋_GB2312" w:hAnsi="方正仿宋_GBK" w:eastAsia="仿宋_GB2312"/>
          <w:sz w:val="28"/>
        </w:rPr>
      </w:pPr>
    </w:p>
    <w:p>
      <w:pPr>
        <w:spacing w:line="720" w:lineRule="exact"/>
        <w:rPr>
          <w:rFonts w:hint="eastAsia" w:ascii="华文中宋" w:hAnsi="华文中宋" w:eastAsia="华文中宋"/>
          <w:b/>
          <w:kern w:val="0"/>
          <w:sz w:val="32"/>
        </w:rPr>
      </w:pPr>
    </w:p>
    <w:p>
      <w:pPr>
        <w:spacing w:line="720" w:lineRule="exact"/>
        <w:ind w:firstLine="640" w:firstLineChars="200"/>
        <w:rPr>
          <w:rFonts w:hint="eastAsia" w:ascii="华文中宋" w:hAnsi="华文中宋" w:eastAsia="华文中宋"/>
          <w:b/>
          <w:kern w:val="0"/>
          <w:sz w:val="32"/>
        </w:rPr>
      </w:pPr>
      <w:r>
        <w:rPr>
          <w:rFonts w:hint="eastAsia" w:ascii="华文中宋" w:hAnsi="华文中宋" w:eastAsia="华文中宋"/>
          <w:b/>
          <w:kern w:val="0"/>
          <w:sz w:val="32"/>
        </w:rPr>
        <w:t>合同编号：</w:t>
      </w:r>
      <w:r>
        <w:rPr>
          <w:rFonts w:hint="eastAsia" w:ascii="仿宋_GB2312" w:hAnsi="仿宋_GB2312" w:eastAsia="仿宋_GB2312"/>
          <w:sz w:val="28"/>
          <w:highlight w:val="yellow"/>
          <w:u w:val="none" w:color="auto"/>
          <w:shd w:val="clear" w:color="auto" w:fill="FFFF00"/>
        </w:rPr>
        <w:t>按户号+01、02</w:t>
      </w:r>
      <w:r>
        <w:rPr>
          <w:rFonts w:hint="eastAsia" w:ascii="仿宋_GB2312" w:hAnsi="仿宋_GB2312" w:eastAsia="仿宋_GB2312"/>
          <w:sz w:val="28"/>
          <w:highlight w:val="yellow"/>
          <w:u w:val="none" w:color="auto"/>
          <w:shd w:val="clear" w:color="auto" w:fill="FFFF00"/>
          <w:lang w:eastAsia="zh-CN"/>
        </w:rPr>
        <w:t>.....</w:t>
      </w:r>
      <w:r>
        <w:rPr>
          <w:rFonts w:hint="eastAsia" w:ascii="仿宋_GB2312" w:hAnsi="仿宋_GB2312" w:eastAsia="仿宋_GB2312"/>
          <w:sz w:val="28"/>
          <w:highlight w:val="yellow"/>
          <w:u w:val="none" w:color="auto"/>
          <w:shd w:val="clear" w:color="auto" w:fill="FFFF00"/>
        </w:rPr>
        <w:t>方式填写</w:t>
      </w:r>
    </w:p>
    <w:p>
      <w:pPr>
        <w:spacing w:line="720" w:lineRule="exact"/>
        <w:ind w:firstLine="640" w:firstLineChars="200"/>
        <w:rPr>
          <w:rFonts w:hint="eastAsia" w:ascii="华文中宋" w:hAnsi="华文中宋" w:eastAsia="华文中宋"/>
          <w:b/>
          <w:kern w:val="0"/>
          <w:sz w:val="32"/>
        </w:rPr>
      </w:pPr>
      <w:r>
        <w:rPr>
          <w:rFonts w:hint="eastAsia" w:ascii="华文中宋" w:hAnsi="华文中宋" w:eastAsia="华文中宋"/>
          <w:b/>
          <w:kern w:val="0"/>
          <w:sz w:val="32"/>
        </w:rPr>
        <w:t>供电人：</w:t>
      </w:r>
      <w:r>
        <w:rPr>
          <w:rFonts w:hint="eastAsia" w:ascii="华文中宋" w:hAnsi="华文中宋" w:eastAsia="华文中宋"/>
          <w:b/>
          <w:kern w:val="0"/>
          <w:sz w:val="32"/>
          <w:lang w:val="en-US" w:eastAsia="zh-CN"/>
        </w:rPr>
        <w:t xml:space="preserve"> </w:t>
      </w:r>
      <w:r>
        <w:rPr>
          <w:rFonts w:hint="eastAsia" w:ascii="宋体" w:hAnsi="宋体"/>
          <w:color w:val="000000"/>
          <w:sz w:val="32"/>
          <w:lang w:val="zh-CN"/>
        </w:rPr>
        <w:t>国网浙江</w:t>
      </w:r>
      <w:r>
        <w:rPr>
          <w:rFonts w:hint="eastAsia" w:ascii="宋体" w:hAnsi="宋体"/>
          <w:color w:val="000000"/>
          <w:kern w:val="0"/>
          <w:sz w:val="32"/>
        </w:rPr>
        <w:t>永嘉县供电</w:t>
      </w:r>
      <w:r>
        <w:rPr>
          <w:rFonts w:hint="eastAsia" w:ascii="宋体" w:hAnsi="宋体"/>
          <w:color w:val="000000"/>
          <w:kern w:val="0"/>
          <w:sz w:val="32"/>
          <w:lang w:eastAsia="zh-CN"/>
        </w:rPr>
        <w:t>有限</w:t>
      </w:r>
      <w:r>
        <w:rPr>
          <w:rFonts w:hint="eastAsia" w:ascii="宋体" w:hAnsi="宋体"/>
          <w:color w:val="000000"/>
          <w:kern w:val="0"/>
          <w:sz w:val="32"/>
        </w:rPr>
        <w:t>公司</w:t>
      </w:r>
    </w:p>
    <w:p>
      <w:pPr>
        <w:spacing w:line="720" w:lineRule="exact"/>
        <w:ind w:firstLine="640" w:firstLineChars="200"/>
        <w:rPr>
          <w:rFonts w:hint="eastAsia" w:ascii="华文中宋" w:hAnsi="华文中宋" w:eastAsia="华文中宋"/>
          <w:b/>
          <w:kern w:val="0"/>
          <w:sz w:val="32"/>
        </w:rPr>
      </w:pPr>
      <w:r>
        <w:rPr>
          <w:rFonts w:hint="eastAsia" w:ascii="华文中宋" w:hAnsi="华文中宋" w:eastAsia="华文中宋"/>
          <w:b/>
          <w:kern w:val="0"/>
          <w:sz w:val="32"/>
        </w:rPr>
        <w:t>用电人：</w:t>
      </w:r>
      <w:r>
        <w:rPr>
          <w:rFonts w:hint="eastAsia" w:ascii="仿宋_GB2312" w:hAnsi="仿宋_GB2312" w:eastAsia="仿宋_GB2312"/>
          <w:sz w:val="28"/>
          <w:highlight w:val="yellow"/>
          <w:shd w:val="clear" w:color="auto" w:fill="FFFF00"/>
        </w:rPr>
        <w:t>填写用电人名称，应与客户营业执照（组织机构代码证</w:t>
      </w:r>
      <w:r>
        <w:rPr>
          <w:rFonts w:hint="eastAsia" w:ascii="仿宋_GB2312" w:hAnsi="仿宋_GB2312" w:eastAsia="仿宋_GB2312"/>
          <w:sz w:val="28"/>
          <w:highlight w:val="yellow"/>
          <w:shd w:val="clear" w:color="auto" w:fill="FFFF00"/>
          <w:lang w:eastAsia="zh-CN"/>
        </w:rPr>
        <w:t>或五证合一</w:t>
      </w:r>
      <w:r>
        <w:rPr>
          <w:rFonts w:hint="eastAsia" w:ascii="仿宋_GB2312" w:hAnsi="仿宋_GB2312" w:eastAsia="仿宋_GB2312"/>
          <w:sz w:val="28"/>
          <w:highlight w:val="yellow"/>
          <w:shd w:val="clear" w:color="auto" w:fill="FFFF00"/>
        </w:rPr>
        <w:t>）上名称保持一致</w:t>
      </w:r>
      <w:r>
        <w:rPr>
          <w:rFonts w:hint="eastAsia" w:ascii="仿宋_GB2312" w:hAnsi="仿宋_GB2312" w:eastAsia="仿宋_GB2312"/>
          <w:sz w:val="28"/>
          <w:highlight w:val="yellow"/>
          <w:shd w:val="clear" w:color="auto" w:fill="FFFF00"/>
          <w:lang w:eastAsia="zh-CN"/>
        </w:rPr>
        <w:t>，自然人填写姓名</w:t>
      </w:r>
    </w:p>
    <w:p>
      <w:pPr>
        <w:spacing w:line="720" w:lineRule="exact"/>
        <w:ind w:firstLine="640" w:firstLineChars="200"/>
        <w:rPr>
          <w:rFonts w:hint="eastAsia" w:ascii="华文中宋" w:hAnsi="华文中宋" w:eastAsia="华文中宋"/>
          <w:b/>
          <w:kern w:val="0"/>
          <w:sz w:val="32"/>
        </w:rPr>
      </w:pPr>
      <w:r>
        <w:rPr>
          <w:rFonts w:hint="eastAsia" w:ascii="华文中宋" w:hAnsi="华文中宋" w:eastAsia="华文中宋"/>
          <w:b/>
          <w:kern w:val="0"/>
          <w:sz w:val="32"/>
        </w:rPr>
        <w:t>用户编号：</w:t>
      </w:r>
      <w:r>
        <w:rPr>
          <w:rFonts w:hint="eastAsia" w:ascii="仿宋_GB2312" w:hAnsi="仿宋_GB2312" w:eastAsia="仿宋_GB2312"/>
          <w:b w:val="0"/>
          <w:kern w:val="0"/>
          <w:sz w:val="28"/>
          <w:highlight w:val="yellow"/>
          <w:shd w:val="clear" w:color="auto" w:fill="FFFF00"/>
          <w:lang w:eastAsia="zh-CN"/>
        </w:rPr>
        <w:t>营销系统内的户号</w:t>
      </w:r>
    </w:p>
    <w:p>
      <w:pPr>
        <w:spacing w:line="720" w:lineRule="exact"/>
        <w:ind w:firstLine="640" w:firstLineChars="200"/>
        <w:rPr>
          <w:rFonts w:hint="eastAsia" w:ascii="华文中宋" w:hAnsi="华文中宋" w:eastAsia="华文中宋"/>
          <w:b/>
          <w:sz w:val="32"/>
          <w:u w:val="single"/>
        </w:rPr>
      </w:pPr>
      <w:r>
        <w:rPr>
          <w:rFonts w:hint="eastAsia" w:ascii="华文中宋" w:hAnsi="华文中宋" w:eastAsia="华文中宋"/>
          <w:b/>
          <w:kern w:val="0"/>
          <w:sz w:val="32"/>
        </w:rPr>
        <w:t xml:space="preserve">签订日期：     </w:t>
      </w:r>
      <w:r>
        <w:rPr>
          <w:rFonts w:hint="eastAsia" w:ascii="宋体" w:hAnsi="宋体"/>
          <w:color w:val="000000"/>
          <w:kern w:val="0"/>
          <w:sz w:val="32"/>
        </w:rPr>
        <w:t>年   月   日</w:t>
      </w:r>
      <w:r>
        <w:rPr>
          <w:rFonts w:hint="eastAsia" w:ascii="仿宋_GB2312" w:hAnsi="仿宋_GB2312" w:eastAsia="仿宋_GB2312"/>
          <w:sz w:val="28"/>
          <w:highlight w:val="yellow"/>
          <w:shd w:val="clear" w:color="auto" w:fill="FFFF00"/>
        </w:rPr>
        <w:t>以最后实际签订日期为准,与签署页中的最迟签订日期保持一致。</w:t>
      </w:r>
      <w:r>
        <w:rPr>
          <w:rFonts w:hint="eastAsia" w:ascii="仿宋_GB2312" w:hAnsi="仿宋_GB2312" w:eastAsia="仿宋_GB2312"/>
          <w:sz w:val="28"/>
          <w:highlight w:val="yellow"/>
          <w:shd w:val="clear" w:color="auto" w:fill="FFFF00"/>
          <w:lang w:eastAsia="zh-CN"/>
        </w:rPr>
        <w:t>建议</w:t>
      </w:r>
      <w:r>
        <w:rPr>
          <w:rFonts w:hint="eastAsia" w:ascii="仿宋_GB2312" w:hAnsi="仿宋_GB2312" w:eastAsia="仿宋_GB2312"/>
          <w:sz w:val="28"/>
          <w:highlight w:val="yellow"/>
          <w:shd w:val="clear" w:color="auto" w:fill="FFFF00"/>
        </w:rPr>
        <w:t>先空着，最后手填。</w:t>
      </w:r>
    </w:p>
    <w:p>
      <w:pPr>
        <w:spacing w:line="720" w:lineRule="exact"/>
        <w:ind w:firstLine="640" w:firstLineChars="200"/>
        <w:rPr>
          <w:rFonts w:hint="eastAsia" w:ascii="华文中宋" w:hAnsi="华文中宋" w:eastAsia="华文中宋"/>
          <w:sz w:val="32"/>
        </w:rPr>
      </w:pPr>
      <w:r>
        <w:rPr>
          <w:rFonts w:hint="eastAsia" w:ascii="华文中宋" w:hAnsi="华文中宋" w:eastAsia="华文中宋"/>
          <w:b/>
          <w:kern w:val="0"/>
          <w:sz w:val="32"/>
        </w:rPr>
        <w:t>签订地点：</w:t>
      </w:r>
      <w:r>
        <w:rPr>
          <w:rFonts w:hint="eastAsia" w:ascii="宋体" w:hAnsi="宋体"/>
          <w:color w:val="000000"/>
          <w:kern w:val="0"/>
          <w:sz w:val="32"/>
        </w:rPr>
        <w:t>温州永嘉县</w:t>
      </w:r>
      <w:r>
        <w:rPr>
          <w:rFonts w:hint="eastAsia" w:ascii="仿宋_GB2312" w:hAnsi="方正仿宋_GBK" w:eastAsia="仿宋_GB2312"/>
          <w:sz w:val="28"/>
        </w:rPr>
        <w:br w:type="page"/>
      </w:r>
      <w:r>
        <w:rPr>
          <w:rFonts w:hint="eastAsia" w:ascii="华文中宋" w:hAnsi="华文中宋" w:eastAsia="华文中宋"/>
          <w:b/>
          <w:kern w:val="0"/>
          <w:sz w:val="32"/>
        </w:rPr>
        <w:t>使用说明</w:t>
      </w:r>
    </w:p>
    <w:p>
      <w:pPr>
        <w:snapToGrid w:val="0"/>
        <w:ind w:firstLine="560" w:firstLineChars="200"/>
        <w:rPr>
          <w:rFonts w:hint="eastAsia" w:ascii="仿宋_GB2312" w:hAnsi="方正仿宋_GBK" w:eastAsia="仿宋_GB2312"/>
          <w:sz w:val="28"/>
        </w:rPr>
      </w:pPr>
    </w:p>
    <w:p>
      <w:pPr>
        <w:spacing w:line="480" w:lineRule="exact"/>
        <w:ind w:firstLine="560" w:firstLineChars="200"/>
        <w:rPr>
          <w:rFonts w:hint="eastAsia" w:ascii="仿宋" w:hAnsi="仿宋" w:eastAsia="仿宋"/>
          <w:sz w:val="28"/>
        </w:rPr>
      </w:pPr>
      <w:r>
        <w:rPr>
          <w:rFonts w:hint="eastAsia" w:ascii="仿宋" w:hAnsi="仿宋" w:eastAsia="仿宋"/>
          <w:sz w:val="28"/>
        </w:rPr>
        <w:t>1. 本统一合同文本适用于国家电网公司各单位与用户签订的低压供用电合同。</w:t>
      </w:r>
    </w:p>
    <w:p>
      <w:pPr>
        <w:spacing w:line="480" w:lineRule="exact"/>
        <w:ind w:firstLine="560" w:firstLineChars="200"/>
        <w:rPr>
          <w:rFonts w:hint="eastAsia" w:ascii="仿宋" w:hAnsi="仿宋" w:eastAsia="仿宋"/>
          <w:sz w:val="28"/>
        </w:rPr>
      </w:pPr>
      <w:r>
        <w:rPr>
          <w:rFonts w:hint="eastAsia" w:ascii="仿宋" w:hAnsi="仿宋" w:eastAsia="仿宋"/>
          <w:sz w:val="28"/>
        </w:rPr>
        <w:t>2. 在总部的统一管理下，各省级公司负责具体管理统一合同文本的使用。</w:t>
      </w:r>
    </w:p>
    <w:p>
      <w:pPr>
        <w:spacing w:line="480" w:lineRule="exact"/>
        <w:ind w:firstLine="560" w:firstLineChars="200"/>
        <w:rPr>
          <w:rFonts w:hint="eastAsia" w:ascii="仿宋" w:hAnsi="仿宋" w:eastAsia="仿宋"/>
          <w:sz w:val="28"/>
        </w:rPr>
      </w:pPr>
      <w:r>
        <w:rPr>
          <w:rFonts w:hint="eastAsia" w:ascii="仿宋" w:hAnsi="仿宋" w:eastAsia="仿宋"/>
          <w:sz w:val="28"/>
        </w:rPr>
        <w:t>3．供用电合同的起草严格按照统一合同文本的条款格式进行。根据国家法律、法规及相关政策，签约单位结合实际工作需要，可在网省公司引用的供用电统一合同文本基础上，对合同文本1至5条款项下的具体内容进行变更。其余各条款内容如需变更，应在“特别约定”条款中进行约定。</w:t>
      </w:r>
    </w:p>
    <w:p>
      <w:pPr>
        <w:spacing w:line="480" w:lineRule="exact"/>
        <w:ind w:firstLine="560" w:firstLineChars="200"/>
        <w:rPr>
          <w:rFonts w:hint="eastAsia" w:ascii="仿宋" w:hAnsi="仿宋" w:eastAsia="仿宋"/>
          <w:sz w:val="28"/>
        </w:rPr>
      </w:pPr>
      <w:r>
        <w:rPr>
          <w:rFonts w:hint="eastAsia" w:ascii="仿宋" w:hAnsi="仿宋" w:eastAsia="仿宋"/>
          <w:sz w:val="28"/>
        </w:rPr>
        <w:t xml:space="preserve">4. </w:t>
      </w:r>
      <w:r>
        <w:rPr>
          <w:rFonts w:hint="eastAsia" w:ascii="仿宋" w:hAnsi="仿宋" w:eastAsia="仿宋"/>
          <w:color w:val="FF0000"/>
          <w:sz w:val="28"/>
        </w:rPr>
        <w:t>对于合同文本中需当事人填写之处，由双方根据实际情况填写。如当事人约定无需填写的，则应注明“无”或划“/”</w:t>
      </w:r>
      <w:r>
        <w:rPr>
          <w:rFonts w:hint="eastAsia" w:ascii="仿宋" w:hAnsi="仿宋" w:eastAsia="仿宋"/>
          <w:sz w:val="28"/>
        </w:rPr>
        <w:t>。</w:t>
      </w:r>
    </w:p>
    <w:p>
      <w:pPr>
        <w:spacing w:line="480" w:lineRule="exact"/>
        <w:ind w:firstLine="560" w:firstLineChars="200"/>
        <w:rPr>
          <w:rFonts w:hint="eastAsia" w:ascii="仿宋" w:hAnsi="仿宋" w:eastAsia="仿宋"/>
          <w:sz w:val="28"/>
        </w:rPr>
      </w:pPr>
      <w:r>
        <w:rPr>
          <w:rFonts w:hint="eastAsia" w:ascii="仿宋" w:hAnsi="仿宋" w:eastAsia="仿宋"/>
          <w:sz w:val="28"/>
        </w:rPr>
        <w:t xml:space="preserve">5. </w:t>
      </w:r>
      <w:r>
        <w:rPr>
          <w:rFonts w:hint="eastAsia" w:ascii="仿宋" w:hAnsi="仿宋" w:eastAsia="仿宋"/>
          <w:color w:val="FF0000"/>
          <w:sz w:val="28"/>
        </w:rPr>
        <w:t>有关合同文本的其他使用说明见文本脚注</w:t>
      </w:r>
      <w:r>
        <w:rPr>
          <w:rFonts w:hint="eastAsia" w:ascii="仿宋" w:hAnsi="仿宋" w:eastAsia="仿宋"/>
          <w:sz w:val="28"/>
        </w:rPr>
        <w:t>。</w:t>
      </w:r>
    </w:p>
    <w:p>
      <w:pPr>
        <w:spacing w:line="480" w:lineRule="exact"/>
        <w:ind w:firstLine="560" w:firstLineChars="200"/>
        <w:rPr>
          <w:rFonts w:hint="eastAsia" w:ascii="仿宋" w:hAnsi="仿宋" w:eastAsia="仿宋"/>
          <w:sz w:val="28"/>
        </w:rPr>
      </w:pPr>
      <w:r>
        <w:rPr>
          <w:rFonts w:hint="eastAsia" w:ascii="仿宋" w:hAnsi="仿宋" w:eastAsia="仿宋"/>
          <w:sz w:val="28"/>
        </w:rPr>
        <w:t xml:space="preserve">6. </w:t>
      </w:r>
      <w:r>
        <w:rPr>
          <w:rFonts w:hint="eastAsia" w:ascii="仿宋" w:hAnsi="仿宋" w:eastAsia="仿宋"/>
          <w:color w:val="FF0000"/>
          <w:sz w:val="28"/>
        </w:rPr>
        <w:t>国家电网公司各单位合同承办人员应按照本使用说明起草合同，在合同开始内部审核或提交对方前应删除本使用说明及文本脚注</w:t>
      </w:r>
      <w:r>
        <w:rPr>
          <w:rFonts w:hint="eastAsia" w:ascii="仿宋" w:hAnsi="仿宋" w:eastAsia="仿宋"/>
          <w:sz w:val="28"/>
        </w:rPr>
        <w:t>。</w:t>
      </w:r>
    </w:p>
    <w:p>
      <w:pPr>
        <w:spacing w:line="480" w:lineRule="exact"/>
        <w:rPr>
          <w:rFonts w:hint="eastAsia" w:ascii="仿宋" w:hAnsi="仿宋" w:eastAsia="仿宋"/>
          <w:sz w:val="28"/>
        </w:rPr>
        <w:sectPr>
          <w:headerReference r:id="rId4" w:type="first"/>
          <w:headerReference r:id="rId3" w:type="default"/>
          <w:footerReference r:id="rId5" w:type="even"/>
          <w:pgSz w:w="11906" w:h="16838"/>
          <w:pgMar w:top="1440" w:right="1797" w:bottom="1440" w:left="1797" w:header="851" w:footer="680" w:gutter="0"/>
          <w:pgNumType w:start="0"/>
          <w:cols w:space="720" w:num="1"/>
          <w:titlePg/>
          <w:docGrid w:type="linesAndChars" w:linePitch="516" w:charSpace="0"/>
        </w:sectPr>
      </w:pPr>
    </w:p>
    <w:p>
      <w:pPr>
        <w:pStyle w:val="15"/>
        <w:rPr>
          <w:rFonts w:hint="eastAsia"/>
        </w:rPr>
      </w:pPr>
      <w:r>
        <w:rPr>
          <w:rFonts w:hint="eastAsia"/>
        </w:rPr>
        <w:t>目  录</w:t>
      </w:r>
    </w:p>
    <w:p>
      <w:pPr>
        <w:rPr>
          <w:rFonts w:hint="eastAsia"/>
        </w:rPr>
      </w:pPr>
    </w:p>
    <w:p>
      <w:pPr>
        <w:pStyle w:val="15"/>
        <w:spacing w:line="480" w:lineRule="exact"/>
        <w:rPr>
          <w:rFonts w:ascii="仿宋" w:hAnsi="仿宋" w:eastAsia="仿宋"/>
          <w:b w:val="0"/>
          <w:sz w:val="28"/>
          <w:lang/>
        </w:rPr>
      </w:pPr>
      <w:r>
        <w:rPr>
          <w:rFonts w:hint="eastAsia" w:ascii="仿宋" w:hAnsi="仿宋" w:eastAsia="仿宋"/>
          <w:b w:val="0"/>
          <w:kern w:val="0"/>
          <w:sz w:val="28"/>
          <w:lang/>
        </w:rPr>
        <w:fldChar w:fldCharType="begin"/>
      </w:r>
      <w:r>
        <w:rPr>
          <w:rFonts w:hint="eastAsia" w:ascii="仿宋" w:hAnsi="仿宋" w:eastAsia="仿宋"/>
          <w:b w:val="0"/>
          <w:kern w:val="0"/>
          <w:sz w:val="28"/>
          <w:lang/>
        </w:rPr>
        <w:instrText xml:space="preserve"> TOC \o "1-2" \h \z \u </w:instrText>
      </w:r>
      <w:r>
        <w:rPr>
          <w:rFonts w:hint="eastAsia" w:ascii="仿宋" w:hAnsi="仿宋" w:eastAsia="仿宋"/>
          <w:b w:val="0"/>
          <w:kern w:val="0"/>
          <w:sz w:val="28"/>
          <w:lang/>
        </w:rPr>
        <w:fldChar w:fldCharType="separate"/>
      </w: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"_Toc468783702"</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w:t>
      </w:r>
      <w:r>
        <w:rPr>
          <w:rStyle w:val="22"/>
          <w:rFonts w:hint="eastAsia" w:ascii="仿宋" w:hAnsi="仿宋" w:eastAsia="仿宋"/>
          <w:b w:val="0"/>
          <w:sz w:val="28"/>
          <w:u w:val="none"/>
          <w:lang/>
        </w:rPr>
        <w:t>用电地址、用电性质和用电容量</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_Toc468783702 \h </w:instrText>
      </w:r>
      <w:r>
        <w:rPr>
          <w:rFonts w:ascii="仿宋" w:hAnsi="仿宋" w:eastAsia="仿宋"/>
          <w:b w:val="0"/>
          <w:sz w:val="28"/>
          <w:lang/>
        </w:rPr>
        <w:fldChar w:fldCharType="separate"/>
      </w:r>
      <w:r>
        <w:rPr>
          <w:rFonts w:ascii="仿宋" w:hAnsi="仿宋" w:eastAsia="仿宋"/>
          <w:b w:val="0"/>
          <w:sz w:val="28"/>
          <w:lang/>
        </w:rPr>
        <w:t>1</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"_Toc468783703"</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2.</w:t>
      </w:r>
      <w:r>
        <w:rPr>
          <w:rStyle w:val="22"/>
          <w:rFonts w:hint="eastAsia" w:ascii="仿宋" w:hAnsi="仿宋" w:eastAsia="仿宋"/>
          <w:b w:val="0"/>
          <w:sz w:val="28"/>
          <w:u w:val="none"/>
          <w:lang/>
        </w:rPr>
        <w:t>供电方式</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_Toc468783703 \h </w:instrText>
      </w:r>
      <w:r>
        <w:rPr>
          <w:rFonts w:ascii="仿宋" w:hAnsi="仿宋" w:eastAsia="仿宋"/>
          <w:b w:val="0"/>
          <w:sz w:val="28"/>
          <w:lang/>
        </w:rPr>
        <w:fldChar w:fldCharType="separate"/>
      </w:r>
      <w:r>
        <w:rPr>
          <w:rFonts w:ascii="仿宋" w:hAnsi="仿宋" w:eastAsia="仿宋"/>
          <w:b w:val="0"/>
          <w:sz w:val="28"/>
          <w:lang/>
        </w:rPr>
        <w:t>1</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"_Toc468783704"</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3.</w:t>
      </w:r>
      <w:r>
        <w:rPr>
          <w:rStyle w:val="22"/>
          <w:rFonts w:hint="eastAsia" w:ascii="仿宋" w:hAnsi="仿宋" w:eastAsia="仿宋"/>
          <w:b w:val="0"/>
          <w:sz w:val="28"/>
          <w:u w:val="none"/>
          <w:lang/>
        </w:rPr>
        <w:t>产权分界点及责任划分</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_Toc468783704 \h </w:instrText>
      </w:r>
      <w:r>
        <w:rPr>
          <w:rFonts w:ascii="仿宋" w:hAnsi="仿宋" w:eastAsia="仿宋"/>
          <w:b w:val="0"/>
          <w:sz w:val="28"/>
          <w:lang/>
        </w:rPr>
        <w:fldChar w:fldCharType="separate"/>
      </w:r>
      <w:r>
        <w:rPr>
          <w:rFonts w:ascii="仿宋" w:hAnsi="仿宋" w:eastAsia="仿宋"/>
          <w:b w:val="0"/>
          <w:sz w:val="28"/>
          <w:lang/>
        </w:rPr>
        <w:t>1</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"_Toc468783705"</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4.</w:t>
      </w:r>
      <w:r>
        <w:rPr>
          <w:rStyle w:val="22"/>
          <w:rFonts w:hint="eastAsia" w:ascii="仿宋" w:hAnsi="仿宋" w:eastAsia="仿宋"/>
          <w:b w:val="0"/>
          <w:sz w:val="28"/>
          <w:u w:val="none"/>
          <w:lang/>
        </w:rPr>
        <w:t>用电计量</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_Toc468783705 \h </w:instrText>
      </w:r>
      <w:r>
        <w:rPr>
          <w:rFonts w:ascii="仿宋" w:hAnsi="仿宋" w:eastAsia="仿宋"/>
          <w:b w:val="0"/>
          <w:sz w:val="28"/>
          <w:lang/>
        </w:rPr>
        <w:fldChar w:fldCharType="separate"/>
      </w:r>
      <w:r>
        <w:rPr>
          <w:rFonts w:ascii="仿宋" w:hAnsi="仿宋" w:eastAsia="仿宋"/>
          <w:b w:val="0"/>
          <w:sz w:val="28"/>
          <w:lang/>
        </w:rPr>
        <w:t>2</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"_Toc468783706"</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5.</w:t>
      </w:r>
      <w:r>
        <w:rPr>
          <w:rStyle w:val="22"/>
          <w:rFonts w:hint="eastAsia" w:ascii="仿宋" w:hAnsi="仿宋" w:eastAsia="仿宋"/>
          <w:b w:val="0"/>
          <w:sz w:val="28"/>
          <w:u w:val="none"/>
          <w:lang/>
        </w:rPr>
        <w:t>电价及电费结算</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_Toc468783706 \h </w:instrText>
      </w:r>
      <w:r>
        <w:rPr>
          <w:rFonts w:ascii="仿宋" w:hAnsi="仿宋" w:eastAsia="仿宋"/>
          <w:b w:val="0"/>
          <w:sz w:val="28"/>
          <w:lang/>
        </w:rPr>
        <w:fldChar w:fldCharType="separate"/>
      </w:r>
      <w:r>
        <w:rPr>
          <w:rFonts w:ascii="仿宋" w:hAnsi="仿宋" w:eastAsia="仿宋"/>
          <w:b w:val="0"/>
          <w:sz w:val="28"/>
          <w:lang/>
        </w:rPr>
        <w:t>3</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"_Toc468783707"</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6.</w:t>
      </w:r>
      <w:r>
        <w:rPr>
          <w:rStyle w:val="22"/>
          <w:rFonts w:hint="eastAsia" w:ascii="仿宋" w:hAnsi="仿宋" w:eastAsia="仿宋"/>
          <w:b w:val="0"/>
          <w:sz w:val="28"/>
          <w:u w:val="none"/>
          <w:lang/>
        </w:rPr>
        <w:t>计量失准及异议处理规则</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_Toc468783707 \h </w:instrText>
      </w:r>
      <w:r>
        <w:rPr>
          <w:rFonts w:ascii="仿宋" w:hAnsi="仿宋" w:eastAsia="仿宋"/>
          <w:b w:val="0"/>
          <w:sz w:val="28"/>
          <w:lang/>
        </w:rPr>
        <w:fldChar w:fldCharType="separate"/>
      </w:r>
      <w:r>
        <w:rPr>
          <w:rFonts w:ascii="仿宋" w:hAnsi="仿宋" w:eastAsia="仿宋"/>
          <w:b w:val="0"/>
          <w:sz w:val="28"/>
          <w:lang/>
        </w:rPr>
        <w:t>4</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"_Toc468783708"</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7.</w:t>
      </w:r>
      <w:r>
        <w:rPr>
          <w:rStyle w:val="22"/>
          <w:rFonts w:hint="eastAsia" w:ascii="仿宋" w:hAnsi="仿宋" w:eastAsia="仿宋"/>
          <w:b w:val="0"/>
          <w:sz w:val="28"/>
          <w:u w:val="none"/>
          <w:lang/>
        </w:rPr>
        <w:t>供电质量</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_Toc468783708 \h </w:instrText>
      </w:r>
      <w:r>
        <w:rPr>
          <w:rFonts w:ascii="仿宋" w:hAnsi="仿宋" w:eastAsia="仿宋"/>
          <w:b w:val="0"/>
          <w:sz w:val="28"/>
          <w:lang/>
        </w:rPr>
        <w:fldChar w:fldCharType="separate"/>
      </w:r>
      <w:r>
        <w:rPr>
          <w:rFonts w:ascii="仿宋" w:hAnsi="仿宋" w:eastAsia="仿宋"/>
          <w:b w:val="0"/>
          <w:sz w:val="28"/>
          <w:lang/>
        </w:rPr>
        <w:t>5</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"_Toc468783709"</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8.</w:t>
      </w:r>
      <w:r>
        <w:rPr>
          <w:rStyle w:val="22"/>
          <w:rFonts w:hint="eastAsia" w:ascii="仿宋" w:hAnsi="仿宋" w:eastAsia="仿宋"/>
          <w:b w:val="0"/>
          <w:sz w:val="28"/>
          <w:u w:val="none"/>
          <w:lang/>
        </w:rPr>
        <w:t>连续供电</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_Toc468783709 \h </w:instrText>
      </w:r>
      <w:r>
        <w:rPr>
          <w:rFonts w:ascii="仿宋" w:hAnsi="仿宋" w:eastAsia="仿宋"/>
          <w:b w:val="0"/>
          <w:sz w:val="28"/>
          <w:lang/>
        </w:rPr>
        <w:fldChar w:fldCharType="separate"/>
      </w:r>
      <w:r>
        <w:rPr>
          <w:rFonts w:ascii="仿宋" w:hAnsi="仿宋" w:eastAsia="仿宋"/>
          <w:b w:val="0"/>
          <w:sz w:val="28"/>
          <w:lang/>
        </w:rPr>
        <w:t>5</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"_Toc468783710"</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9.</w:t>
      </w:r>
      <w:r>
        <w:rPr>
          <w:rStyle w:val="22"/>
          <w:rFonts w:hint="eastAsia" w:ascii="仿宋" w:hAnsi="仿宋" w:eastAsia="仿宋"/>
          <w:b w:val="0"/>
          <w:sz w:val="28"/>
          <w:u w:val="none"/>
          <w:lang/>
        </w:rPr>
        <w:t>中止供电程序</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_Toc468783710 \h </w:instrText>
      </w:r>
      <w:r>
        <w:rPr>
          <w:rFonts w:ascii="仿宋" w:hAnsi="仿宋" w:eastAsia="仿宋"/>
          <w:b w:val="0"/>
          <w:sz w:val="28"/>
          <w:lang/>
        </w:rPr>
        <w:fldChar w:fldCharType="separate"/>
      </w:r>
      <w:r>
        <w:rPr>
          <w:rFonts w:ascii="仿宋" w:hAnsi="仿宋" w:eastAsia="仿宋"/>
          <w:b w:val="0"/>
          <w:sz w:val="28"/>
          <w:lang/>
        </w:rPr>
        <w:t>5</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"_Toc468783711"</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10.</w:t>
      </w:r>
      <w:r>
        <w:rPr>
          <w:rStyle w:val="22"/>
          <w:rFonts w:hint="eastAsia" w:ascii="仿宋" w:hAnsi="仿宋" w:eastAsia="仿宋"/>
          <w:b w:val="0"/>
          <w:sz w:val="28"/>
          <w:u w:val="none"/>
          <w:lang/>
        </w:rPr>
        <w:t>配合事项</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_Toc468783711 \h </w:instrText>
      </w:r>
      <w:r>
        <w:rPr>
          <w:rFonts w:ascii="仿宋" w:hAnsi="仿宋" w:eastAsia="仿宋"/>
          <w:b w:val="0"/>
          <w:sz w:val="28"/>
          <w:lang/>
        </w:rPr>
        <w:fldChar w:fldCharType="separate"/>
      </w:r>
      <w:r>
        <w:rPr>
          <w:rFonts w:ascii="仿宋" w:hAnsi="仿宋" w:eastAsia="仿宋"/>
          <w:b w:val="0"/>
          <w:sz w:val="28"/>
          <w:lang/>
        </w:rPr>
        <w:t>6</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"_Toc468783712"</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11.</w:t>
      </w:r>
      <w:r>
        <w:rPr>
          <w:rStyle w:val="22"/>
          <w:rFonts w:hint="eastAsia" w:ascii="仿宋" w:hAnsi="仿宋" w:eastAsia="仿宋"/>
          <w:b w:val="0"/>
          <w:sz w:val="28"/>
          <w:u w:val="none"/>
          <w:lang/>
        </w:rPr>
        <w:t>质量共担</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_Toc468783712 \h </w:instrText>
      </w:r>
      <w:r>
        <w:rPr>
          <w:rFonts w:ascii="仿宋" w:hAnsi="仿宋" w:eastAsia="仿宋"/>
          <w:b w:val="0"/>
          <w:sz w:val="28"/>
          <w:lang/>
        </w:rPr>
        <w:fldChar w:fldCharType="separate"/>
      </w:r>
      <w:r>
        <w:rPr>
          <w:rFonts w:ascii="仿宋" w:hAnsi="仿宋" w:eastAsia="仿宋"/>
          <w:b w:val="0"/>
          <w:sz w:val="28"/>
          <w:lang/>
        </w:rPr>
        <w:t>7</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"_Toc468783713"</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12.</w:t>
      </w:r>
      <w:r>
        <w:rPr>
          <w:rStyle w:val="22"/>
          <w:rFonts w:hint="eastAsia" w:ascii="仿宋" w:hAnsi="仿宋" w:eastAsia="仿宋"/>
          <w:b w:val="0"/>
          <w:sz w:val="28"/>
          <w:u w:val="none"/>
          <w:lang/>
        </w:rPr>
        <w:t>供电人不得实施的行为</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_Toc468783713 \h </w:instrText>
      </w:r>
      <w:r>
        <w:rPr>
          <w:rFonts w:ascii="仿宋" w:hAnsi="仿宋" w:eastAsia="仿宋"/>
          <w:b w:val="0"/>
          <w:sz w:val="28"/>
          <w:lang/>
        </w:rPr>
        <w:fldChar w:fldCharType="separate"/>
      </w:r>
      <w:r>
        <w:rPr>
          <w:rFonts w:ascii="仿宋" w:hAnsi="仿宋" w:eastAsia="仿宋"/>
          <w:b w:val="0"/>
          <w:sz w:val="28"/>
          <w:lang/>
        </w:rPr>
        <w:t>7</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"_Toc468783714"</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13.</w:t>
      </w:r>
      <w:r>
        <w:rPr>
          <w:rStyle w:val="22"/>
          <w:rFonts w:hint="eastAsia" w:ascii="仿宋" w:hAnsi="仿宋" w:eastAsia="仿宋"/>
          <w:b w:val="0"/>
          <w:sz w:val="28"/>
          <w:u w:val="none"/>
          <w:lang/>
        </w:rPr>
        <w:t>用电人不得实施的行为</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_Toc468783714 \h </w:instrText>
      </w:r>
      <w:r>
        <w:rPr>
          <w:rFonts w:ascii="仿宋" w:hAnsi="仿宋" w:eastAsia="仿宋"/>
          <w:b w:val="0"/>
          <w:sz w:val="28"/>
          <w:lang/>
        </w:rPr>
        <w:fldChar w:fldCharType="separate"/>
      </w:r>
      <w:r>
        <w:rPr>
          <w:rFonts w:ascii="仿宋" w:hAnsi="仿宋" w:eastAsia="仿宋"/>
          <w:b w:val="0"/>
          <w:sz w:val="28"/>
          <w:lang/>
        </w:rPr>
        <w:t>7</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"_Toc468783715"</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14.</w:t>
      </w:r>
      <w:r>
        <w:rPr>
          <w:rStyle w:val="22"/>
          <w:rFonts w:hint="eastAsia" w:ascii="仿宋" w:hAnsi="仿宋" w:eastAsia="仿宋"/>
          <w:b w:val="0"/>
          <w:sz w:val="28"/>
          <w:u w:val="none"/>
          <w:lang/>
        </w:rPr>
        <w:t>供电人的违约责任</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_Toc468783715 \h </w:instrText>
      </w:r>
      <w:r>
        <w:rPr>
          <w:rFonts w:ascii="仿宋" w:hAnsi="仿宋" w:eastAsia="仿宋"/>
          <w:b w:val="0"/>
          <w:sz w:val="28"/>
          <w:lang/>
        </w:rPr>
        <w:fldChar w:fldCharType="separate"/>
      </w:r>
      <w:r>
        <w:rPr>
          <w:rFonts w:ascii="仿宋" w:hAnsi="仿宋" w:eastAsia="仿宋"/>
          <w:b w:val="0"/>
          <w:sz w:val="28"/>
          <w:lang/>
        </w:rPr>
        <w:t>7</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"_Toc468783716"</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15.</w:t>
      </w:r>
      <w:r>
        <w:rPr>
          <w:rStyle w:val="22"/>
          <w:rFonts w:hint="eastAsia" w:ascii="仿宋" w:hAnsi="仿宋" w:eastAsia="仿宋"/>
          <w:b w:val="0"/>
          <w:sz w:val="28"/>
          <w:u w:val="none"/>
          <w:lang/>
        </w:rPr>
        <w:t>用电人的违约责任</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_Toc468783716 \h </w:instrText>
      </w:r>
      <w:r>
        <w:rPr>
          <w:rFonts w:ascii="仿宋" w:hAnsi="仿宋" w:eastAsia="仿宋"/>
          <w:b w:val="0"/>
          <w:sz w:val="28"/>
          <w:lang/>
        </w:rPr>
        <w:fldChar w:fldCharType="separate"/>
      </w:r>
      <w:r>
        <w:rPr>
          <w:rFonts w:ascii="仿宋" w:hAnsi="仿宋" w:eastAsia="仿宋"/>
          <w:b w:val="0"/>
          <w:sz w:val="28"/>
          <w:lang/>
        </w:rPr>
        <w:t>9</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"_Toc468783717"</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16.</w:t>
      </w:r>
      <w:r>
        <w:rPr>
          <w:rStyle w:val="22"/>
          <w:rFonts w:hint="eastAsia" w:ascii="仿宋" w:hAnsi="仿宋" w:eastAsia="仿宋"/>
          <w:b w:val="0"/>
          <w:sz w:val="28"/>
          <w:u w:val="none"/>
          <w:lang/>
        </w:rPr>
        <w:t>合同的生效、转让及变更</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_Toc468783717 \h </w:instrText>
      </w:r>
      <w:r>
        <w:rPr>
          <w:rFonts w:ascii="仿宋" w:hAnsi="仿宋" w:eastAsia="仿宋"/>
          <w:b w:val="0"/>
          <w:sz w:val="28"/>
          <w:lang/>
        </w:rPr>
        <w:fldChar w:fldCharType="separate"/>
      </w:r>
      <w:r>
        <w:rPr>
          <w:rFonts w:ascii="仿宋" w:hAnsi="仿宋" w:eastAsia="仿宋"/>
          <w:b w:val="0"/>
          <w:sz w:val="28"/>
          <w:lang/>
        </w:rPr>
        <w:t>10</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"_Toc468783718"</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17.</w:t>
      </w:r>
      <w:r>
        <w:rPr>
          <w:rStyle w:val="22"/>
          <w:rFonts w:hint="eastAsia" w:ascii="仿宋" w:hAnsi="仿宋" w:eastAsia="仿宋"/>
          <w:b w:val="0"/>
          <w:sz w:val="28"/>
          <w:u w:val="none"/>
          <w:lang/>
        </w:rPr>
        <w:t>争议解决</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_Toc468783718 \h </w:instrText>
      </w:r>
      <w:r>
        <w:rPr>
          <w:rFonts w:ascii="仿宋" w:hAnsi="仿宋" w:eastAsia="仿宋"/>
          <w:b w:val="0"/>
          <w:sz w:val="28"/>
          <w:lang/>
        </w:rPr>
        <w:fldChar w:fldCharType="separate"/>
      </w:r>
      <w:r>
        <w:rPr>
          <w:rFonts w:ascii="仿宋" w:hAnsi="仿宋" w:eastAsia="仿宋"/>
          <w:b w:val="0"/>
          <w:sz w:val="28"/>
          <w:lang/>
        </w:rPr>
        <w:t>11</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仿宋" w:hAnsi="仿宋" w:eastAsia="仿宋"/>
          <w:b w:val="0"/>
          <w:sz w:val="28"/>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"_Toc468783719"</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sz w:val="28"/>
          <w:u w:val="none"/>
          <w:lang/>
        </w:rPr>
        <w:t>19.</w:t>
      </w:r>
      <w:r>
        <w:rPr>
          <w:rStyle w:val="22"/>
          <w:rFonts w:hint="eastAsia" w:ascii="仿宋" w:hAnsi="仿宋" w:eastAsia="仿宋"/>
          <w:b w:val="0"/>
          <w:sz w:val="28"/>
          <w:u w:val="none"/>
          <w:lang/>
        </w:rPr>
        <w:t>附则</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_Toc468783719 \h </w:instrText>
      </w:r>
      <w:r>
        <w:rPr>
          <w:rFonts w:ascii="仿宋" w:hAnsi="仿宋" w:eastAsia="仿宋"/>
          <w:b w:val="0"/>
          <w:sz w:val="28"/>
          <w:lang/>
        </w:rPr>
        <w:fldChar w:fldCharType="separate"/>
      </w:r>
      <w:r>
        <w:rPr>
          <w:rFonts w:ascii="仿宋" w:hAnsi="仿宋" w:eastAsia="仿宋"/>
          <w:b w:val="0"/>
          <w:sz w:val="28"/>
          <w:lang/>
        </w:rPr>
        <w:t>11</w:t>
      </w:r>
      <w:r>
        <w:rPr>
          <w:rFonts w:ascii="仿宋" w:hAnsi="仿宋" w:eastAsia="仿宋"/>
          <w:b w:val="0"/>
          <w:sz w:val="28"/>
          <w:lang/>
        </w:rPr>
        <w:fldChar w:fldCharType="end"/>
      </w:r>
      <w:r>
        <w:rPr>
          <w:rFonts w:ascii="仿宋" w:hAnsi="仿宋" w:eastAsia="仿宋"/>
          <w:b w:val="0"/>
          <w:sz w:val="28"/>
          <w:lang/>
        </w:rPr>
        <w:fldChar w:fldCharType="end"/>
      </w:r>
    </w:p>
    <w:p>
      <w:pPr>
        <w:pStyle w:val="15"/>
        <w:spacing w:line="480" w:lineRule="exact"/>
        <w:rPr>
          <w:rFonts w:ascii="Calibri" w:hAnsi="Calibri" w:eastAsia="宋体"/>
          <w:b w:val="0"/>
          <w:sz w:val="21"/>
          <w:lang/>
        </w:rPr>
      </w:pPr>
      <w:r>
        <w:rPr>
          <w:rFonts w:ascii="仿宋" w:hAnsi="仿宋" w:eastAsia="仿宋"/>
          <w:b w:val="0"/>
          <w:sz w:val="28"/>
          <w:lang/>
        </w:rPr>
        <w:fldChar w:fldCharType="begin"/>
      </w:r>
      <w:r>
        <w:rPr>
          <w:rStyle w:val="22"/>
          <w:rFonts w:ascii="仿宋" w:hAnsi="仿宋" w:eastAsia="仿宋"/>
          <w:b w:val="0"/>
          <w:sz w:val="28"/>
          <w:u w:val="none"/>
          <w:lang/>
        </w:rPr>
        <w:instrText xml:space="preserve"> </w:instrText>
      </w:r>
      <w:r>
        <w:rPr>
          <w:rFonts w:ascii="仿宋" w:hAnsi="仿宋" w:eastAsia="仿宋"/>
          <w:b w:val="0"/>
          <w:sz w:val="28"/>
          <w:lang/>
        </w:rPr>
        <w:instrText xml:space="preserve">HYPERLINK \l "_Toc468783720"</w:instrText>
      </w:r>
      <w:r>
        <w:rPr>
          <w:rStyle w:val="22"/>
          <w:rFonts w:ascii="仿宋" w:hAnsi="仿宋" w:eastAsia="仿宋"/>
          <w:b w:val="0"/>
          <w:sz w:val="28"/>
          <w:u w:val="none"/>
          <w:lang/>
        </w:rPr>
        <w:instrText xml:space="preserve"> </w:instrText>
      </w:r>
      <w:r>
        <w:rPr>
          <w:rFonts w:ascii="仿宋" w:hAnsi="仿宋" w:eastAsia="仿宋"/>
          <w:b w:val="0"/>
          <w:sz w:val="28"/>
          <w:lang/>
        </w:rPr>
        <w:fldChar w:fldCharType="separate"/>
      </w:r>
      <w:r>
        <w:rPr>
          <w:rStyle w:val="22"/>
          <w:rFonts w:ascii="仿宋" w:hAnsi="仿宋" w:eastAsia="仿宋"/>
          <w:b w:val="0"/>
          <w:kern w:val="44"/>
          <w:sz w:val="28"/>
          <w:u w:val="none"/>
          <w:lang/>
        </w:rPr>
        <w:t>20.</w:t>
      </w:r>
      <w:r>
        <w:rPr>
          <w:rStyle w:val="22"/>
          <w:rFonts w:hint="eastAsia" w:ascii="仿宋" w:hAnsi="仿宋" w:eastAsia="仿宋"/>
          <w:b w:val="0"/>
          <w:kern w:val="44"/>
          <w:sz w:val="28"/>
          <w:u w:val="none"/>
          <w:lang/>
        </w:rPr>
        <w:t>特别约定</w:t>
      </w:r>
      <w:r>
        <w:rPr>
          <w:rFonts w:ascii="仿宋" w:hAnsi="仿宋" w:eastAsia="仿宋"/>
          <w:b w:val="0"/>
          <w:sz w:val="28"/>
          <w:lang/>
        </w:rPr>
        <w:tab/>
      </w:r>
      <w:r>
        <w:rPr>
          <w:rFonts w:ascii="仿宋" w:hAnsi="仿宋" w:eastAsia="仿宋"/>
          <w:b w:val="0"/>
          <w:sz w:val="28"/>
          <w:lang/>
        </w:rPr>
        <w:fldChar w:fldCharType="begin"/>
      </w:r>
      <w:r>
        <w:rPr>
          <w:rFonts w:ascii="仿宋" w:hAnsi="仿宋" w:eastAsia="仿宋"/>
          <w:b w:val="0"/>
          <w:sz w:val="28"/>
          <w:lang/>
        </w:rPr>
        <w:instrText xml:space="preserve"> PAGEREF _Toc468783720 \h </w:instrText>
      </w:r>
      <w:r>
        <w:rPr>
          <w:rFonts w:ascii="仿宋" w:hAnsi="仿宋" w:eastAsia="仿宋"/>
          <w:b w:val="0"/>
          <w:sz w:val="28"/>
          <w:lang/>
        </w:rPr>
        <w:fldChar w:fldCharType="separate"/>
      </w:r>
      <w:r>
        <w:rPr>
          <w:rFonts w:ascii="仿宋" w:hAnsi="仿宋" w:eastAsia="仿宋"/>
          <w:b w:val="0"/>
          <w:sz w:val="28"/>
          <w:lang/>
        </w:rPr>
        <w:t>12</w:t>
      </w:r>
      <w:r>
        <w:rPr>
          <w:rFonts w:ascii="仿宋" w:hAnsi="仿宋" w:eastAsia="仿宋"/>
          <w:b w:val="0"/>
          <w:sz w:val="28"/>
          <w:lang/>
        </w:rPr>
        <w:fldChar w:fldCharType="end"/>
      </w:r>
      <w:r>
        <w:rPr>
          <w:rFonts w:ascii="仿宋" w:hAnsi="仿宋" w:eastAsia="仿宋"/>
          <w:b w:val="0"/>
          <w:sz w:val="28"/>
          <w:lang/>
        </w:rPr>
        <w:fldChar w:fldCharType="end"/>
      </w:r>
    </w:p>
    <w:p>
      <w:pPr>
        <w:pStyle w:val="15"/>
        <w:spacing w:after="0" w:afterLines="0" w:afterAutospacing="0" w:line="480" w:lineRule="exact"/>
        <w:ind w:firstLine="560" w:firstLineChars="200"/>
        <w:jc w:val="both"/>
        <w:rPr>
          <w:rFonts w:hint="eastAsia" w:ascii="仿宋" w:hAnsi="仿宋" w:eastAsia="仿宋"/>
          <w:b w:val="0"/>
          <w:kern w:val="0"/>
          <w:sz w:val="28"/>
          <w:lang/>
        </w:rPr>
      </w:pPr>
      <w:r>
        <w:rPr>
          <w:rFonts w:hint="eastAsia" w:ascii="仿宋" w:hAnsi="仿宋" w:eastAsia="仿宋"/>
          <w:b w:val="0"/>
          <w:kern w:val="0"/>
          <w:sz w:val="28"/>
          <w:lang/>
        </w:rPr>
        <w:fldChar w:fldCharType="end"/>
      </w:r>
    </w:p>
    <w:p>
      <w:pPr>
        <w:pStyle w:val="15"/>
        <w:spacing w:after="0" w:afterLines="0" w:afterAutospacing="0" w:line="480" w:lineRule="exact"/>
        <w:ind w:firstLine="560" w:firstLineChars="200"/>
        <w:jc w:val="both"/>
        <w:rPr>
          <w:rFonts w:hint="eastAsia" w:ascii="仿宋" w:hAnsi="仿宋" w:eastAsia="仿宋"/>
          <w:b w:val="0"/>
          <w:kern w:val="0"/>
          <w:sz w:val="28"/>
          <w:lang/>
        </w:rPr>
        <w:sectPr>
          <w:footerReference r:id="rId6" w:type="default"/>
          <w:pgSz w:w="11906" w:h="16838"/>
          <w:pgMar w:top="1440" w:right="1797" w:bottom="1440" w:left="1797" w:header="851" w:footer="992" w:gutter="0"/>
          <w:pgNumType w:start="1"/>
          <w:cols w:space="720" w:num="1"/>
          <w:docGrid w:type="linesAndChars" w:linePitch="312" w:charSpace="0"/>
        </w:sectPr>
      </w:pPr>
    </w:p>
    <w:p>
      <w:pPr>
        <w:pStyle w:val="15"/>
        <w:spacing w:after="0" w:afterLines="0" w:afterAutospacing="0" w:line="480" w:lineRule="exact"/>
        <w:ind w:firstLine="560" w:firstLineChars="200"/>
        <w:jc w:val="both"/>
        <w:rPr>
          <w:rFonts w:hint="eastAsia" w:ascii="仿宋_GB2312" w:eastAsia="仿宋_GB2312"/>
          <w:b w:val="0"/>
          <w:kern w:val="0"/>
          <w:sz w:val="28"/>
          <w:lang/>
        </w:rPr>
      </w:pPr>
    </w:p>
    <w:p>
      <w:pPr>
        <w:pStyle w:val="15"/>
        <w:spacing w:after="0" w:afterLines="0" w:afterAutospacing="0" w:line="480" w:lineRule="exact"/>
        <w:ind w:firstLine="560" w:firstLineChars="200"/>
        <w:jc w:val="both"/>
        <w:rPr>
          <w:rFonts w:hint="eastAsia" w:ascii="仿宋" w:hAnsi="仿宋" w:eastAsia="仿宋"/>
          <w:b w:val="0"/>
          <w:sz w:val="28"/>
        </w:rPr>
      </w:pPr>
      <w:r>
        <w:rPr>
          <w:rFonts w:hint="eastAsia" w:ascii="仿宋" w:hAnsi="仿宋" w:eastAsia="仿宋"/>
          <w:b w:val="0"/>
          <w:sz w:val="28"/>
        </w:rPr>
        <w:t>为确定供电人和用电人在电力供应与使用中的权利和义务，安全、经济、合理、有序地供电和用电，根据《合同法》、《电力法》、《电力监管条例》、《电力供应与使用条例》、《供电监管办法》、《供电营业规则》等有关规定，双方经协商一致，订立本合同。</w:t>
      </w:r>
    </w:p>
    <w:p>
      <w:pPr>
        <w:pStyle w:val="2"/>
        <w:spacing w:line="480" w:lineRule="exact"/>
        <w:ind w:firstLine="560"/>
        <w:rPr>
          <w:rFonts w:hint="eastAsia" w:ascii="黑体" w:hAnsi="方正仿宋_GBK" w:eastAsia="黑体"/>
          <w:b w:val="0"/>
          <w:kern w:val="2"/>
          <w:sz w:val="28"/>
        </w:rPr>
      </w:pPr>
      <w:bookmarkStart w:id="0" w:name="_Toc252599123"/>
      <w:bookmarkStart w:id="1" w:name="_Toc252795105"/>
      <w:bookmarkStart w:id="2" w:name="_Toc468783702"/>
      <w:r>
        <w:rPr>
          <w:rFonts w:hint="eastAsia" w:ascii="黑体" w:hAnsi="方正仿宋_GBK" w:eastAsia="黑体"/>
          <w:b w:val="0"/>
          <w:kern w:val="2"/>
          <w:sz w:val="28"/>
        </w:rPr>
        <w:t>1.用电地址、用电性质和用电容量</w:t>
      </w:r>
      <w:bookmarkEnd w:id="0"/>
      <w:bookmarkEnd w:id="1"/>
      <w:bookmarkEnd w:id="2"/>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1.1用电地址：</w:t>
      </w:r>
      <w:r>
        <w:rPr>
          <w:rFonts w:hint="eastAsia" w:ascii="仿宋" w:hAnsi="仿宋" w:eastAsia="仿宋"/>
          <w:sz w:val="28"/>
          <w:u w:val="single"/>
        </w:rPr>
        <w:t xml:space="preserve">                                    </w:t>
      </w:r>
      <w:r>
        <w:rPr>
          <w:rFonts w:hint="eastAsia" w:ascii="仿宋" w:hAnsi="仿宋" w:eastAsia="仿宋"/>
          <w:sz w:val="28"/>
        </w:rPr>
        <w:t>。</w:t>
      </w:r>
      <w:r>
        <w:rPr>
          <w:rFonts w:hint="eastAsia" w:ascii="仿宋_GB2312" w:hAnsi="仿宋_GB2312" w:eastAsia="仿宋_GB2312"/>
          <w:sz w:val="28"/>
          <w:highlight w:val="yellow"/>
          <w:shd w:val="clear" w:color="auto" w:fill="FFFF00"/>
        </w:rPr>
        <w:t>与客户申请表</w:t>
      </w:r>
      <w:r>
        <w:rPr>
          <w:rFonts w:hint="eastAsia" w:ascii="仿宋_GB2312" w:hAnsi="仿宋_GB2312" w:eastAsia="仿宋_GB2312"/>
          <w:sz w:val="28"/>
          <w:highlight w:val="yellow"/>
          <w:shd w:val="clear" w:color="auto" w:fill="FFFF00"/>
          <w:lang w:eastAsia="zh-CN"/>
        </w:rPr>
        <w:t>的</w:t>
      </w:r>
      <w:r>
        <w:rPr>
          <w:rFonts w:hint="eastAsia" w:ascii="仿宋_GB2312" w:hAnsi="仿宋_GB2312" w:eastAsia="仿宋_GB2312"/>
          <w:sz w:val="28"/>
          <w:highlight w:val="yellow"/>
          <w:shd w:val="clear" w:color="auto" w:fill="FFFF00"/>
        </w:rPr>
        <w:t>地址一致，且与</w:t>
      </w:r>
      <w:r>
        <w:rPr>
          <w:rFonts w:hint="eastAsia" w:ascii="仿宋_GB2312" w:hAnsi="仿宋_GB2312" w:eastAsia="仿宋_GB2312"/>
          <w:sz w:val="28"/>
          <w:highlight w:val="yellow"/>
          <w:shd w:val="clear" w:color="auto" w:fill="FFFF00"/>
          <w:lang w:eastAsia="zh-CN"/>
        </w:rPr>
        <w:t>营销</w:t>
      </w:r>
      <w:r>
        <w:rPr>
          <w:rFonts w:hint="eastAsia" w:ascii="仿宋_GB2312" w:hAnsi="仿宋_GB2312" w:eastAsia="仿宋_GB2312"/>
          <w:sz w:val="28"/>
          <w:highlight w:val="yellow"/>
          <w:shd w:val="clear" w:color="auto" w:fill="FFFF00"/>
        </w:rPr>
        <w:t>系统</w:t>
      </w:r>
      <w:r>
        <w:rPr>
          <w:rFonts w:hint="eastAsia" w:ascii="仿宋_GB2312" w:hAnsi="仿宋_GB2312" w:eastAsia="仿宋_GB2312"/>
          <w:sz w:val="28"/>
          <w:highlight w:val="yellow"/>
          <w:shd w:val="clear" w:color="auto" w:fill="FFFF00"/>
          <w:lang w:eastAsia="zh-CN"/>
        </w:rPr>
        <w:t>的</w:t>
      </w:r>
      <w:r>
        <w:rPr>
          <w:rFonts w:hint="eastAsia" w:ascii="仿宋_GB2312" w:hAnsi="仿宋_GB2312" w:eastAsia="仿宋_GB2312"/>
          <w:sz w:val="28"/>
          <w:highlight w:val="yellow"/>
          <w:shd w:val="clear" w:color="auto" w:fill="FFFF00"/>
        </w:rPr>
        <w:t>用电地址一致，如</w:t>
      </w:r>
      <w:r>
        <w:rPr>
          <w:rFonts w:hint="eastAsia" w:ascii="仿宋_GB2312" w:hAnsi="仿宋_GB2312" w:eastAsia="仿宋_GB2312"/>
          <w:sz w:val="28"/>
          <w:highlight w:val="yellow"/>
          <w:shd w:val="clear" w:color="auto" w:fill="FFFF00"/>
          <w:lang w:eastAsia="zh-CN"/>
        </w:rPr>
        <w:t>营销</w:t>
      </w:r>
      <w:r>
        <w:rPr>
          <w:rFonts w:hint="eastAsia" w:ascii="仿宋_GB2312" w:hAnsi="仿宋_GB2312" w:eastAsia="仿宋_GB2312"/>
          <w:sz w:val="28"/>
          <w:highlight w:val="yellow"/>
          <w:shd w:val="clear" w:color="auto" w:fill="FFFF00"/>
        </w:rPr>
        <w:t>系统</w:t>
      </w:r>
      <w:r>
        <w:rPr>
          <w:rFonts w:hint="eastAsia" w:ascii="仿宋_GB2312" w:hAnsi="仿宋_GB2312" w:eastAsia="仿宋_GB2312"/>
          <w:sz w:val="28"/>
          <w:highlight w:val="yellow"/>
          <w:shd w:val="clear" w:color="auto" w:fill="FFFF00"/>
          <w:lang w:eastAsia="zh-CN"/>
        </w:rPr>
        <w:t>地址</w:t>
      </w:r>
      <w:r>
        <w:rPr>
          <w:rFonts w:hint="eastAsia" w:ascii="仿宋_GB2312" w:hAnsi="仿宋_GB2312" w:eastAsia="仿宋_GB2312"/>
          <w:sz w:val="28"/>
          <w:highlight w:val="yellow"/>
          <w:shd w:val="clear" w:color="auto" w:fill="FFFF00"/>
        </w:rPr>
        <w:t>与申请表</w:t>
      </w:r>
      <w:r>
        <w:rPr>
          <w:rFonts w:hint="eastAsia" w:ascii="仿宋_GB2312" w:hAnsi="仿宋_GB2312" w:eastAsia="仿宋_GB2312"/>
          <w:sz w:val="28"/>
          <w:highlight w:val="yellow"/>
          <w:shd w:val="clear" w:color="auto" w:fill="FFFF00"/>
          <w:lang w:eastAsia="zh-CN"/>
        </w:rPr>
        <w:t>地址存在</w:t>
      </w:r>
      <w:r>
        <w:rPr>
          <w:rFonts w:hint="eastAsia" w:ascii="仿宋_GB2312" w:hAnsi="仿宋_GB2312" w:eastAsia="仿宋_GB2312"/>
          <w:sz w:val="28"/>
          <w:highlight w:val="yellow"/>
          <w:shd w:val="clear" w:color="auto" w:fill="FFFF00"/>
        </w:rPr>
        <w:t>不一致的，</w:t>
      </w:r>
      <w:r>
        <w:rPr>
          <w:rFonts w:hint="eastAsia" w:ascii="仿宋_GB2312" w:hAnsi="仿宋_GB2312" w:eastAsia="仿宋_GB2312"/>
          <w:sz w:val="28"/>
          <w:highlight w:val="yellow"/>
          <w:shd w:val="clear" w:color="auto" w:fill="FFFF00"/>
          <w:lang w:eastAsia="zh-CN"/>
        </w:rPr>
        <w:t>请</w:t>
      </w:r>
      <w:r>
        <w:rPr>
          <w:rFonts w:hint="eastAsia" w:ascii="仿宋_GB2312" w:hAnsi="仿宋_GB2312" w:eastAsia="仿宋_GB2312"/>
          <w:sz w:val="28"/>
          <w:highlight w:val="yellow"/>
          <w:shd w:val="clear" w:color="auto" w:fill="FFFF00"/>
        </w:rPr>
        <w:t>以营销系统地址为准。</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1.2用电性质</w:t>
      </w:r>
    </w:p>
    <w:p>
      <w:pPr>
        <w:snapToGrid w:val="0"/>
        <w:spacing w:line="480" w:lineRule="exact"/>
        <w:ind w:firstLine="560" w:firstLineChars="200"/>
        <w:rPr>
          <w:rFonts w:hint="eastAsia" w:ascii="仿宋" w:hAnsi="仿宋" w:eastAsia="仿宋"/>
          <w:sz w:val="28"/>
          <w:shd w:val="clear" w:color="auto" w:fill="FFFF00"/>
        </w:rPr>
      </w:pPr>
      <w:r>
        <w:rPr>
          <w:rFonts w:hint="eastAsia" w:ascii="仿宋" w:hAnsi="仿宋" w:eastAsia="仿宋"/>
          <w:sz w:val="28"/>
        </w:rPr>
        <w:t>（1）行业分类：</w:t>
      </w:r>
      <w:r>
        <w:rPr>
          <w:rFonts w:hint="eastAsia" w:ascii="仿宋" w:hAnsi="仿宋" w:eastAsia="仿宋"/>
          <w:sz w:val="28"/>
          <w:u w:val="single"/>
        </w:rPr>
        <w:t xml:space="preserve">                                   </w:t>
      </w:r>
      <w:r>
        <w:rPr>
          <w:rFonts w:hint="eastAsia" w:ascii="仿宋" w:hAnsi="仿宋" w:eastAsia="仿宋"/>
          <w:sz w:val="28"/>
        </w:rPr>
        <w:t>。</w:t>
      </w:r>
      <w:r>
        <w:rPr>
          <w:rFonts w:hint="eastAsia" w:ascii="仿宋_GB2312" w:hAnsi="仿宋_GB2312" w:eastAsia="仿宋_GB2312"/>
          <w:sz w:val="28"/>
          <w:highlight w:val="yellow"/>
          <w:shd w:val="clear" w:color="auto" w:fill="FFFF00"/>
        </w:rPr>
        <w:t>按国民经济行业分类，一般写最后一层，与营销系统一致。</w:t>
      </w:r>
    </w:p>
    <w:p>
      <w:pPr>
        <w:snapToGrid w:val="0"/>
        <w:spacing w:line="480" w:lineRule="exact"/>
        <w:ind w:firstLine="560" w:firstLineChars="200"/>
        <w:rPr>
          <w:rFonts w:hint="eastAsia" w:ascii="仿宋" w:hAnsi="仿宋" w:eastAsia="仿宋"/>
          <w:sz w:val="28"/>
          <w:shd w:val="clear" w:color="auto" w:fill="FFFF00"/>
        </w:rPr>
      </w:pPr>
      <w:r>
        <w:rPr>
          <w:rFonts w:hint="eastAsia" w:ascii="仿宋" w:hAnsi="仿宋" w:eastAsia="仿宋"/>
          <w:sz w:val="28"/>
        </w:rPr>
        <w:t>（2）用电分类：</w:t>
      </w:r>
      <w:r>
        <w:rPr>
          <w:rFonts w:hint="eastAsia" w:ascii="仿宋" w:hAnsi="仿宋" w:eastAsia="仿宋"/>
          <w:sz w:val="28"/>
          <w:u w:val="single"/>
        </w:rPr>
        <w:t xml:space="preserve">                                   </w:t>
      </w:r>
      <w:r>
        <w:rPr>
          <w:rFonts w:hint="eastAsia" w:ascii="仿宋" w:hAnsi="仿宋" w:eastAsia="仿宋"/>
          <w:sz w:val="28"/>
        </w:rPr>
        <w:t>。</w:t>
      </w:r>
      <w:r>
        <w:rPr>
          <w:rFonts w:hint="eastAsia" w:ascii="仿宋_GB2312" w:hAnsi="仿宋_GB2312" w:eastAsia="仿宋_GB2312"/>
          <w:sz w:val="28"/>
          <w:highlight w:val="yellow"/>
          <w:shd w:val="clear" w:color="auto" w:fill="FFFF00"/>
        </w:rPr>
        <w:t>按营销系统用电类别填写，与最后一个层级一致。</w:t>
      </w:r>
    </w:p>
    <w:p>
      <w:pPr>
        <w:snapToGrid w:val="0"/>
        <w:spacing w:line="480" w:lineRule="exact"/>
        <w:ind w:firstLine="560" w:firstLineChars="200"/>
        <w:rPr>
          <w:rFonts w:hint="eastAsia" w:ascii="仿宋" w:hAnsi="仿宋" w:eastAsia="仿宋"/>
          <w:sz w:val="28"/>
          <w:shd w:val="clear" w:color="auto" w:fill="FFFF00"/>
        </w:rPr>
      </w:pPr>
      <w:r>
        <w:rPr>
          <w:rFonts w:hint="eastAsia" w:ascii="仿宋" w:hAnsi="仿宋" w:eastAsia="仿宋"/>
          <w:sz w:val="28"/>
        </w:rPr>
        <w:t>1.3合同约定容量为</w:t>
      </w:r>
      <w:r>
        <w:rPr>
          <w:rFonts w:hint="eastAsia" w:ascii="仿宋" w:hAnsi="仿宋" w:eastAsia="仿宋"/>
          <w:sz w:val="28"/>
          <w:u w:val="single"/>
        </w:rPr>
        <w:t xml:space="preserve">       </w:t>
      </w:r>
      <w:r>
        <w:rPr>
          <w:rFonts w:hint="eastAsia" w:ascii="仿宋" w:hAnsi="仿宋" w:eastAsia="仿宋"/>
          <w:sz w:val="28"/>
        </w:rPr>
        <w:t>千伏安/千瓦，该容量为用电人最大用电容量。</w:t>
      </w:r>
      <w:r>
        <w:rPr>
          <w:rFonts w:hint="eastAsia" w:ascii="仿宋_GB2312" w:hAnsi="仿宋_GB2312" w:eastAsia="仿宋_GB2312"/>
          <w:sz w:val="28"/>
          <w:highlight w:val="yellow"/>
          <w:shd w:val="clear" w:color="auto" w:fill="FFFF00"/>
        </w:rPr>
        <w:t>按批复容量填写</w:t>
      </w:r>
    </w:p>
    <w:p>
      <w:pPr>
        <w:pStyle w:val="2"/>
        <w:spacing w:line="480" w:lineRule="exact"/>
        <w:ind w:firstLine="560"/>
        <w:rPr>
          <w:rFonts w:hint="eastAsia" w:ascii="黑体" w:hAnsi="方正仿宋_GBK" w:eastAsia="黑体"/>
          <w:b w:val="0"/>
          <w:sz w:val="28"/>
        </w:rPr>
      </w:pPr>
      <w:bookmarkStart w:id="3" w:name="_Toc252599124"/>
      <w:bookmarkStart w:id="4" w:name="_Toc252795106"/>
      <w:bookmarkStart w:id="5" w:name="_Toc468783703"/>
      <w:r>
        <w:rPr>
          <w:rFonts w:hint="eastAsia" w:ascii="黑体" w:hAnsi="方正仿宋_GBK" w:eastAsia="黑体"/>
          <w:b w:val="0"/>
          <w:kern w:val="2"/>
          <w:sz w:val="28"/>
        </w:rPr>
        <w:t>2.供电方式</w:t>
      </w:r>
      <w:bookmarkEnd w:id="3"/>
      <w:bookmarkEnd w:id="4"/>
      <w:bookmarkEnd w:id="5"/>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2.1供电人向用电人提供</w:t>
      </w:r>
      <w:r>
        <w:rPr>
          <w:rFonts w:hint="eastAsia" w:ascii="仿宋" w:hAnsi="仿宋" w:eastAsia="仿宋"/>
          <w:sz w:val="28"/>
          <w:highlight w:val="yellow"/>
          <w:u w:val="single"/>
          <w:shd w:val="clear" w:color="auto" w:fill="FFFF00"/>
        </w:rPr>
        <w:t>380V/220V</w:t>
      </w:r>
      <w:r>
        <w:rPr>
          <w:rFonts w:hint="eastAsia" w:ascii="仿宋_GB2312" w:hAnsi="仿宋_GB2312" w:eastAsia="仿宋_GB2312"/>
          <w:sz w:val="28"/>
          <w:highlight w:val="yellow"/>
          <w:u w:val="single"/>
          <w:shd w:val="clear" w:color="auto" w:fill="FFFF00"/>
          <w:lang w:val="en-US" w:eastAsia="zh-CN"/>
        </w:rPr>
        <w:t>二选一</w:t>
      </w:r>
      <w:r>
        <w:rPr>
          <w:rFonts w:hint="eastAsia" w:ascii="仿宋" w:hAnsi="仿宋" w:eastAsia="仿宋"/>
          <w:sz w:val="28"/>
        </w:rPr>
        <w:t>交流50Hz电源，经以下变压器向用电人供电：</w:t>
      </w:r>
      <w:r>
        <w:rPr>
          <w:rFonts w:hint="eastAsia" w:ascii="仿宋_GB2312" w:hAnsi="仿宋_GB2312" w:eastAsia="仿宋_GB2312"/>
          <w:sz w:val="28"/>
          <w:highlight w:val="yellow"/>
          <w:shd w:val="clear" w:color="auto" w:fill="FFFF00"/>
        </w:rPr>
        <w:t>如兰花社区新城花园1#公用变压器</w:t>
      </w:r>
      <w:r>
        <w:rPr>
          <w:rFonts w:hint="eastAsia" w:ascii="仿宋_GB2312" w:hAnsi="仿宋_GB2312" w:eastAsia="仿宋_GB2312"/>
          <w:sz w:val="28"/>
          <w:highlight w:val="yellow"/>
          <w:shd w:val="clear" w:color="auto" w:fill="FFFF00"/>
          <w:lang w:eastAsia="zh-CN"/>
        </w:rPr>
        <w:t>,</w:t>
      </w:r>
      <w:r>
        <w:rPr>
          <w:rFonts w:hint="eastAsia" w:ascii="仿宋_GB2312" w:hAnsi="仿宋_GB2312" w:eastAsia="仿宋_GB2312"/>
          <w:sz w:val="28"/>
          <w:highlight w:val="yellow"/>
          <w:shd w:val="clear" w:color="auto" w:fill="FFFF00"/>
        </w:rPr>
        <w:t>如果</w:t>
      </w:r>
      <w:r>
        <w:rPr>
          <w:rFonts w:hint="eastAsia" w:ascii="仿宋_GB2312" w:hAnsi="仿宋_GB2312" w:eastAsia="仿宋_GB2312"/>
          <w:sz w:val="28"/>
          <w:highlight w:val="yellow"/>
          <w:shd w:val="clear" w:color="auto" w:fill="FFFF00"/>
          <w:lang w:eastAsia="zh-CN"/>
        </w:rPr>
        <w:t>变压器</w:t>
      </w:r>
      <w:r>
        <w:rPr>
          <w:rFonts w:hint="eastAsia" w:ascii="仿宋_GB2312" w:hAnsi="仿宋_GB2312" w:eastAsia="仿宋_GB2312"/>
          <w:sz w:val="28"/>
          <w:highlight w:val="yellow"/>
          <w:shd w:val="clear" w:color="auto" w:fill="FFFF00"/>
        </w:rPr>
        <w:t>只有一个，那么就直接填写</w:t>
      </w:r>
      <w:r>
        <w:rPr>
          <w:rFonts w:hint="eastAsia" w:ascii="仿宋_GB2312" w:hAnsi="仿宋_GB2312" w:eastAsia="仿宋_GB2312"/>
          <w:sz w:val="28"/>
          <w:highlight w:val="yellow"/>
          <w:shd w:val="clear" w:color="auto" w:fill="FFFF00"/>
          <w:lang w:eastAsia="zh-CN"/>
        </w:rPr>
        <w:t>（1）</w:t>
      </w:r>
      <w:r>
        <w:rPr>
          <w:rFonts w:hint="eastAsia" w:ascii="仿宋_GB2312" w:hAnsi="仿宋_GB2312" w:eastAsia="仿宋_GB2312"/>
          <w:sz w:val="28"/>
          <w:highlight w:val="yellow"/>
          <w:shd w:val="clear" w:color="auto" w:fill="FFFF00"/>
        </w:rPr>
        <w:t>条内容，</w:t>
      </w:r>
      <w:r>
        <w:rPr>
          <w:rFonts w:hint="eastAsia" w:ascii="仿宋_GB2312" w:hAnsi="仿宋_GB2312" w:eastAsia="仿宋_GB2312"/>
          <w:sz w:val="28"/>
          <w:highlight w:val="yellow"/>
          <w:shd w:val="clear" w:color="auto" w:fill="FFFF00"/>
          <w:lang w:eastAsia="zh-CN"/>
        </w:rPr>
        <w:t>并</w:t>
      </w:r>
      <w:r>
        <w:rPr>
          <w:rFonts w:hint="eastAsia" w:ascii="仿宋_GB2312" w:hAnsi="仿宋_GB2312" w:eastAsia="仿宋_GB2312"/>
          <w:sz w:val="28"/>
          <w:highlight w:val="yellow"/>
          <w:shd w:val="clear" w:color="auto" w:fill="FFFF00"/>
        </w:rPr>
        <w:t>删除</w:t>
      </w:r>
      <w:r>
        <w:rPr>
          <w:rFonts w:hint="eastAsia" w:ascii="仿宋_GB2312" w:hAnsi="仿宋_GB2312" w:eastAsia="仿宋_GB2312"/>
          <w:sz w:val="28"/>
          <w:highlight w:val="yellow"/>
          <w:shd w:val="clear" w:color="auto" w:fill="FFFF00"/>
          <w:lang w:eastAsia="zh-CN"/>
        </w:rPr>
        <w:t>（1）</w:t>
      </w:r>
      <w:r>
        <w:rPr>
          <w:rFonts w:hint="eastAsia" w:ascii="仿宋_GB2312" w:hAnsi="仿宋_GB2312" w:eastAsia="仿宋_GB2312"/>
          <w:sz w:val="28"/>
          <w:highlight w:val="yellow"/>
          <w:shd w:val="clear" w:color="auto" w:fill="FFFF00"/>
        </w:rPr>
        <w:t>序列号，</w:t>
      </w:r>
      <w:r>
        <w:rPr>
          <w:rFonts w:hint="eastAsia" w:ascii="仿宋_GB2312" w:hAnsi="仿宋_GB2312" w:eastAsia="仿宋_GB2312"/>
          <w:sz w:val="28"/>
          <w:highlight w:val="yellow"/>
          <w:shd w:val="clear" w:color="auto" w:fill="FFFF00"/>
          <w:lang w:eastAsia="zh-CN"/>
        </w:rPr>
        <w:t>（2）、（3）</w:t>
      </w:r>
      <w:r>
        <w:rPr>
          <w:rFonts w:hint="eastAsia" w:ascii="仿宋_GB2312" w:hAnsi="仿宋_GB2312" w:eastAsia="仿宋_GB2312"/>
          <w:sz w:val="28"/>
          <w:highlight w:val="yellow"/>
          <w:shd w:val="clear" w:color="auto" w:fill="FFFF00"/>
        </w:rPr>
        <w:t>内容整条删除</w:t>
      </w:r>
      <w:r>
        <w:rPr>
          <w:rFonts w:hint="eastAsia" w:ascii="仿宋_GB2312" w:hAnsi="仿宋_GB2312" w:eastAsia="仿宋_GB2312"/>
          <w:sz w:val="28"/>
          <w:highlight w:val="yellow"/>
          <w:shd w:val="clear" w:color="auto" w:fill="FFFF00"/>
          <w:lang w:eastAsia="zh-CN"/>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w:t>
      </w:r>
      <w:r>
        <w:rPr>
          <w:rFonts w:hint="eastAsia" w:ascii="仿宋" w:hAnsi="仿宋" w:eastAsia="仿宋"/>
          <w:sz w:val="28"/>
          <w:u w:val="single"/>
        </w:rPr>
        <w:t xml:space="preserve">                     </w:t>
      </w:r>
      <w:r>
        <w:rPr>
          <w:rFonts w:hint="eastAsia" w:ascii="仿宋" w:hAnsi="仿宋" w:eastAsia="仿宋"/>
          <w:sz w:val="28"/>
        </w:rPr>
        <w:t>公用变压器。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w:t>
      </w:r>
      <w:r>
        <w:rPr>
          <w:rFonts w:hint="eastAsia" w:ascii="仿宋" w:hAnsi="仿宋" w:eastAsia="仿宋"/>
          <w:sz w:val="28"/>
          <w:u w:val="single"/>
        </w:rPr>
        <w:t xml:space="preserve">                     </w:t>
      </w:r>
      <w:r>
        <w:rPr>
          <w:rFonts w:hint="eastAsia" w:ascii="仿宋" w:hAnsi="仿宋" w:eastAsia="仿宋"/>
          <w:sz w:val="28"/>
        </w:rPr>
        <w:t>公用变压器。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供电人在不影响用电人正常用电的情况下，有权自行调整供电方式。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2.2因电网意外断电影响安全生产的，用电人应自行采取电或非电保安措施。用电人若有保安负荷时，应自备应急电源，并装设可靠的闭锁装置，防止向电网倒送电。</w:t>
      </w:r>
    </w:p>
    <w:p>
      <w:pPr>
        <w:numPr>
          <w:ilvl w:val="0"/>
          <w:numId w:val="1"/>
        </w:numPr>
        <w:snapToGrid w:val="0"/>
        <w:spacing w:line="480" w:lineRule="exact"/>
        <w:ind w:firstLine="560" w:firstLineChars="200"/>
        <w:rPr>
          <w:rFonts w:hint="eastAsia" w:ascii="仿宋_GB2312" w:hAnsi="仿宋_GB2312" w:eastAsia="仿宋_GB2312"/>
          <w:sz w:val="28"/>
          <w:highlight w:val="yellow"/>
          <w:shd w:val="clear" w:color="auto" w:fill="FFFF00"/>
        </w:rPr>
      </w:pPr>
      <w:r>
        <w:rPr>
          <w:rFonts w:hint="eastAsia" w:ascii="仿宋" w:hAnsi="仿宋" w:eastAsia="仿宋"/>
          <w:sz w:val="28"/>
        </w:rPr>
        <w:t>用电人自备发电机</w:t>
      </w:r>
      <w:r>
        <w:rPr>
          <w:rFonts w:hint="eastAsia" w:ascii="仿宋" w:hAnsi="仿宋" w:eastAsia="仿宋"/>
          <w:sz w:val="28"/>
          <w:u w:val="single"/>
        </w:rPr>
        <w:t xml:space="preserve">      </w:t>
      </w:r>
      <w:r>
        <w:rPr>
          <w:rFonts w:hint="eastAsia" w:ascii="仿宋" w:hAnsi="仿宋" w:eastAsia="仿宋"/>
          <w:sz w:val="28"/>
        </w:rPr>
        <w:t>千瓦，闭锁方式为</w:t>
      </w:r>
      <w:r>
        <w:rPr>
          <w:rFonts w:hint="eastAsia" w:ascii="仿宋" w:hAnsi="仿宋" w:eastAsia="仿宋"/>
          <w:sz w:val="28"/>
          <w:u w:val="single"/>
        </w:rPr>
        <w:t xml:space="preserve">      </w:t>
      </w:r>
      <w:r>
        <w:rPr>
          <w:rFonts w:hint="eastAsia" w:ascii="仿宋" w:hAnsi="仿宋" w:eastAsia="仿宋"/>
          <w:sz w:val="28"/>
        </w:rPr>
        <w:t>。</w:t>
      </w:r>
      <w:r>
        <w:rPr>
          <w:rFonts w:hint="eastAsia" w:ascii="仿宋_GB2312" w:hAnsi="仿宋_GB2312" w:eastAsia="仿宋_GB2312"/>
          <w:sz w:val="28"/>
          <w:highlight w:val="yellow"/>
          <w:shd w:val="clear" w:color="auto" w:fill="FFFF00"/>
        </w:rPr>
        <w:t>按实际填写发电机容量，没有填写“/”</w:t>
      </w:r>
    </w:p>
    <w:p>
      <w:pPr>
        <w:numPr>
          <w:ilvl w:val="0"/>
          <w:numId w:val="1"/>
        </w:numPr>
        <w:snapToGrid w:val="0"/>
        <w:spacing w:line="480" w:lineRule="exact"/>
        <w:ind w:firstLine="560" w:firstLineChars="200"/>
        <w:rPr>
          <w:rFonts w:hint="eastAsia" w:ascii="仿宋" w:hAnsi="仿宋" w:eastAsia="仿宋"/>
          <w:sz w:val="28"/>
          <w:shd w:val="clear" w:color="auto" w:fill="FFFF00"/>
        </w:rPr>
      </w:pPr>
      <w:r>
        <w:rPr>
          <w:rFonts w:hint="eastAsia" w:ascii="仿宋" w:hAnsi="仿宋" w:eastAsia="仿宋"/>
          <w:sz w:val="28"/>
        </w:rPr>
        <w:t>（2）不间断电源（UPS）</w:t>
      </w:r>
      <w:r>
        <w:rPr>
          <w:rFonts w:hint="eastAsia" w:ascii="仿宋" w:hAnsi="仿宋" w:eastAsia="仿宋"/>
          <w:sz w:val="28"/>
          <w:u w:val="single"/>
        </w:rPr>
        <w:t xml:space="preserve">      </w:t>
      </w:r>
      <w:r>
        <w:rPr>
          <w:rFonts w:hint="eastAsia" w:ascii="仿宋" w:hAnsi="仿宋" w:eastAsia="仿宋"/>
          <w:sz w:val="28"/>
        </w:rPr>
        <w:t>千瓦。</w:t>
      </w:r>
      <w:r>
        <w:rPr>
          <w:rFonts w:hint="eastAsia" w:ascii="仿宋_GB2312" w:hAnsi="仿宋_GB2312" w:eastAsia="仿宋_GB2312"/>
          <w:sz w:val="28"/>
          <w:highlight w:val="yellow"/>
          <w:shd w:val="clear" w:color="auto" w:fill="FFFF00"/>
        </w:rPr>
        <w:t>按实际填写发电机容量，没有填写“/”</w:t>
      </w:r>
    </w:p>
    <w:p>
      <w:pPr>
        <w:pStyle w:val="2"/>
        <w:spacing w:line="480" w:lineRule="exact"/>
        <w:ind w:firstLine="560"/>
        <w:rPr>
          <w:rFonts w:hint="eastAsia" w:ascii="仿宋" w:hAnsi="仿宋" w:eastAsia="仿宋"/>
          <w:b w:val="0"/>
          <w:sz w:val="28"/>
        </w:rPr>
      </w:pPr>
      <w:bookmarkStart w:id="6" w:name="_Toc468783704"/>
      <w:r>
        <w:rPr>
          <w:rFonts w:hint="eastAsia" w:ascii="仿宋" w:hAnsi="仿宋" w:eastAsia="仿宋"/>
          <w:b w:val="0"/>
          <w:kern w:val="2"/>
          <w:sz w:val="28"/>
        </w:rPr>
        <w:t>3.产权分界点及责任划分</w:t>
      </w:r>
      <w:bookmarkEnd w:id="6"/>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3.1供用电设施产权分界点为：</w:t>
      </w:r>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sz w:val="28"/>
          <w:highlight w:val="yellow"/>
          <w:shd w:val="clear" w:color="auto" w:fill="FFFF00"/>
        </w:rPr>
        <w:t>如果</w:t>
      </w:r>
      <w:r>
        <w:rPr>
          <w:rFonts w:hint="eastAsia" w:ascii="仿宋_GB2312" w:hAnsi="仿宋_GB2312" w:eastAsia="仿宋_GB2312"/>
          <w:sz w:val="28"/>
          <w:highlight w:val="yellow"/>
          <w:shd w:val="clear" w:color="auto" w:fill="FFFF00"/>
          <w:lang w:eastAsia="zh-CN"/>
        </w:rPr>
        <w:t>产权分界点</w:t>
      </w:r>
      <w:r>
        <w:rPr>
          <w:rFonts w:hint="eastAsia" w:ascii="仿宋_GB2312" w:hAnsi="仿宋_GB2312" w:eastAsia="仿宋_GB2312"/>
          <w:sz w:val="28"/>
          <w:highlight w:val="yellow"/>
          <w:shd w:val="clear" w:color="auto" w:fill="FFFF00"/>
        </w:rPr>
        <w:t>只有一个，那么就删除</w:t>
      </w:r>
      <w:r>
        <w:rPr>
          <w:rFonts w:hint="eastAsia" w:ascii="仿宋_GB2312" w:hAnsi="仿宋_GB2312" w:eastAsia="仿宋_GB2312"/>
          <w:sz w:val="28"/>
          <w:highlight w:val="yellow"/>
          <w:shd w:val="clear" w:color="auto" w:fill="FFFF00"/>
          <w:lang w:eastAsia="zh-CN"/>
        </w:rPr>
        <w:t>（1）序列号</w:t>
      </w:r>
      <w:r>
        <w:rPr>
          <w:rFonts w:hint="eastAsia" w:ascii="仿宋_GB2312" w:hAnsi="仿宋_GB2312" w:eastAsia="仿宋_GB2312"/>
          <w:sz w:val="28"/>
          <w:highlight w:val="yellow"/>
          <w:shd w:val="clear" w:color="auto" w:fill="FFFF00"/>
        </w:rPr>
        <w:t>，删除</w:t>
      </w:r>
      <w:r>
        <w:rPr>
          <w:rFonts w:hint="eastAsia" w:ascii="仿宋_GB2312" w:hAnsi="仿宋_GB2312" w:eastAsia="仿宋_GB2312"/>
          <w:sz w:val="28"/>
          <w:highlight w:val="yellow"/>
          <w:shd w:val="clear" w:color="auto" w:fill="FFFF00"/>
          <w:lang w:eastAsia="zh-CN"/>
        </w:rPr>
        <w:t>（2）</w:t>
      </w:r>
      <w:r>
        <w:rPr>
          <w:rFonts w:hint="eastAsia" w:ascii="仿宋_GB2312" w:hAnsi="仿宋_GB2312" w:eastAsia="仿宋_GB2312"/>
          <w:sz w:val="28"/>
          <w:highlight w:val="yellow"/>
          <w:shd w:val="clear" w:color="auto" w:fill="FFFF00"/>
        </w:rPr>
        <w:t>整条内容</w:t>
      </w:r>
      <w:r>
        <w:rPr>
          <w:rFonts w:hint="eastAsia" w:ascii="仿宋_GB2312" w:hAnsi="仿宋_GB2312" w:eastAsia="仿宋_GB2312"/>
          <w:sz w:val="28"/>
          <w:highlight w:val="yellow"/>
          <w:shd w:val="clear" w:color="auto" w:fill="FFFF00"/>
          <w:lang w:eastAsia="zh-CN"/>
        </w:rPr>
        <w:t>，仅</w:t>
      </w:r>
      <w:r>
        <w:rPr>
          <w:rFonts w:hint="eastAsia" w:ascii="仿宋_GB2312" w:hAnsi="仿宋_GB2312" w:eastAsia="仿宋_GB2312"/>
          <w:sz w:val="28"/>
          <w:highlight w:val="yellow"/>
          <w:shd w:val="clear" w:color="auto" w:fill="FFFF00"/>
        </w:rPr>
        <w:t>填写</w:t>
      </w:r>
      <w:r>
        <w:rPr>
          <w:rFonts w:hint="eastAsia" w:ascii="仿宋_GB2312" w:hAnsi="仿宋_GB2312" w:eastAsia="仿宋_GB2312"/>
          <w:sz w:val="28"/>
          <w:highlight w:val="yellow"/>
          <w:shd w:val="clear" w:color="auto" w:fill="FFFF00"/>
          <w:lang w:eastAsia="zh-CN"/>
        </w:rPr>
        <w:t>（1）</w:t>
      </w:r>
      <w:r>
        <w:rPr>
          <w:rFonts w:hint="eastAsia" w:ascii="仿宋_GB2312" w:hAnsi="仿宋_GB2312" w:eastAsia="仿宋_GB2312"/>
          <w:sz w:val="28"/>
          <w:highlight w:val="yellow"/>
          <w:shd w:val="clear" w:color="auto" w:fill="FFFF00"/>
        </w:rPr>
        <w:t>条</w:t>
      </w:r>
      <w:r>
        <w:rPr>
          <w:rFonts w:hint="eastAsia" w:ascii="仿宋_GB2312" w:hAnsi="仿宋_GB2312" w:eastAsia="仿宋_GB2312"/>
          <w:sz w:val="28"/>
          <w:highlight w:val="yellow"/>
          <w:shd w:val="clear" w:color="auto" w:fill="FFFF00"/>
          <w:lang w:eastAsia="zh-CN"/>
        </w:rPr>
        <w:t>相关</w:t>
      </w:r>
      <w:r>
        <w:rPr>
          <w:rFonts w:hint="eastAsia" w:ascii="仿宋_GB2312" w:hAnsi="仿宋_GB2312" w:eastAsia="仿宋_GB2312"/>
          <w:sz w:val="28"/>
          <w:highlight w:val="yellow"/>
          <w:shd w:val="clear" w:color="auto" w:fill="FFFF00"/>
        </w:rPr>
        <w:t>内容。如果还有第</w:t>
      </w:r>
      <w:r>
        <w:rPr>
          <w:rFonts w:hint="eastAsia" w:ascii="仿宋_GB2312" w:hAnsi="仿宋_GB2312" w:eastAsia="仿宋_GB2312"/>
          <w:sz w:val="28"/>
          <w:highlight w:val="yellow"/>
          <w:shd w:val="clear" w:color="auto" w:fill="FFFF00"/>
          <w:lang w:eastAsia="zh-CN"/>
        </w:rPr>
        <w:t>3路电源</w:t>
      </w:r>
      <w:r>
        <w:rPr>
          <w:rFonts w:hint="eastAsia" w:ascii="仿宋_GB2312" w:hAnsi="仿宋_GB2312" w:eastAsia="仿宋_GB2312"/>
          <w:sz w:val="28"/>
          <w:highlight w:val="yellow"/>
          <w:shd w:val="clear" w:color="auto" w:fill="FFFF00"/>
        </w:rPr>
        <w:t>，则增加</w:t>
      </w:r>
      <w:r>
        <w:rPr>
          <w:rFonts w:hint="eastAsia" w:ascii="仿宋_GB2312" w:hAnsi="仿宋_GB2312" w:eastAsia="仿宋_GB2312"/>
          <w:sz w:val="28"/>
          <w:highlight w:val="yellow"/>
          <w:shd w:val="clear" w:color="auto" w:fill="FFFF00"/>
          <w:lang w:eastAsia="zh-CN"/>
        </w:rPr>
        <w:t xml:space="preserve">（3）第3路电源 </w:t>
      </w:r>
      <w:r>
        <w:rPr>
          <w:rFonts w:hint="eastAsia" w:ascii="仿宋_GB2312" w:hAnsi="仿宋_GB2312" w:eastAsia="仿宋_GB2312"/>
          <w:sz w:val="28"/>
          <w:highlight w:val="yellow"/>
          <w:shd w:val="clear" w:color="auto" w:fill="FFFF00"/>
        </w:rPr>
        <w:t>条</w:t>
      </w:r>
      <w:r>
        <w:rPr>
          <w:rFonts w:hint="eastAsia" w:ascii="仿宋_GB2312" w:hAnsi="仿宋_GB2312" w:eastAsia="仿宋_GB2312"/>
          <w:sz w:val="28"/>
          <w:highlight w:val="yellow"/>
          <w:shd w:val="clear" w:color="auto" w:fill="FFFF00"/>
          <w:lang w:eastAsia="zh-CN"/>
        </w:rPr>
        <w:t>款</w:t>
      </w:r>
      <w:r>
        <w:rPr>
          <w:rFonts w:hint="eastAsia" w:ascii="仿宋_GB2312" w:hAnsi="仿宋_GB2312" w:eastAsia="仿宋_GB2312"/>
          <w:sz w:val="28"/>
          <w:highlight w:val="yellow"/>
          <w:shd w:val="clear" w:color="auto" w:fill="FFFF00"/>
        </w:rPr>
        <w:t>，以此类推</w:t>
      </w:r>
      <w:r>
        <w:rPr>
          <w:rFonts w:hint="eastAsia" w:ascii="仿宋_GB2312" w:hAnsi="仿宋_GB2312" w:eastAsia="仿宋_GB2312"/>
          <w:sz w:val="28"/>
          <w:highlight w:val="yellow"/>
        </w:rPr>
        <w:t>。</w:t>
      </w:r>
    </w:p>
    <w:p>
      <w:pPr>
        <w:snapToGrid w:val="0"/>
        <w:spacing w:line="480" w:lineRule="exact"/>
        <w:ind w:firstLine="560" w:firstLineChars="200"/>
        <w:rPr>
          <w:rFonts w:hint="eastAsia" w:ascii="仿宋_GB2312" w:hAnsi="宋体" w:eastAsia="仿宋_GB2312"/>
          <w:b/>
          <w:sz w:val="28"/>
        </w:rPr>
      </w:pPr>
      <w:r>
        <w:rPr>
          <w:rFonts w:hint="eastAsia" w:ascii="仿宋" w:hAnsi="仿宋" w:eastAsia="仿宋"/>
          <w:sz w:val="28"/>
        </w:rPr>
        <w:t>(1)</w:t>
      </w:r>
      <w:r>
        <w:rPr>
          <w:rFonts w:hint="eastAsia" w:ascii="仿宋" w:hAnsi="仿宋" w:eastAsia="仿宋"/>
          <w:sz w:val="28"/>
          <w:u w:val="single"/>
        </w:rPr>
        <w:t xml:space="preserve">                                  </w:t>
      </w:r>
      <w:r>
        <w:rPr>
          <w:rFonts w:hint="eastAsia" w:ascii="仿宋" w:hAnsi="仿宋" w:eastAsia="仿宋"/>
          <w:sz w:val="28"/>
        </w:rPr>
        <w:t>（见附件2之附图）</w:t>
      </w:r>
      <w:r>
        <w:rPr>
          <w:rFonts w:hint="eastAsia" w:ascii="仿宋_GB2312" w:hAnsi="宋体" w:eastAsia="仿宋_GB2312"/>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w:t>
      </w:r>
      <w:r>
        <w:rPr>
          <w:rFonts w:hint="eastAsia" w:ascii="仿宋" w:hAnsi="仿宋" w:eastAsia="仿宋"/>
          <w:sz w:val="28"/>
          <w:u w:val="single"/>
        </w:rPr>
        <w:t xml:space="preserve">                                  </w:t>
      </w:r>
      <w:r>
        <w:rPr>
          <w:rFonts w:hint="eastAsia" w:ascii="仿宋" w:hAnsi="仿宋" w:eastAsia="仿宋"/>
          <w:sz w:val="28"/>
        </w:rPr>
        <w:t>（见附件2之附图）。</w:t>
      </w:r>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sz w:val="28"/>
          <w:highlight w:val="yellow"/>
          <w:shd w:val="clear" w:color="auto" w:fill="FFFF00"/>
        </w:rPr>
        <w:t>按供电营业规则补充条例中的分界图及说明进行填写。1、公用低压线路供电的，以供电接户线用户端最后支持物为分界点，支持物属供电企业。2、采用电缆供电的，本着便于维护管理的原则，分界点由供电企业与用户协商确定，一般写低压开关出线桩头与低压电缆搭接处。3、产权属于用户且由用户运行维护的线路，以公用线路分支杆或专用线路接引的公用变压器旁第一基电杆为分界点，专用线路第一基电杆属用户。</w:t>
      </w:r>
      <w:r>
        <w:rPr>
          <w:rFonts w:hint="eastAsia" w:ascii="仿宋_GB2312" w:hAnsi="仿宋_GB2312" w:eastAsia="仿宋_GB2312"/>
          <w:b w:val="0"/>
          <w:bCs/>
          <w:color w:val="000000"/>
          <w:sz w:val="28"/>
          <w:highlight w:val="yellow"/>
          <w:shd w:val="clear" w:color="auto" w:fill="FFFF00"/>
        </w:rPr>
        <w:t>4、计费电能表的出线端处。</w:t>
      </w:r>
    </w:p>
    <w:p>
      <w:pPr>
        <w:snapToGrid w:val="0"/>
        <w:spacing w:line="480" w:lineRule="exact"/>
        <w:ind w:firstLine="560" w:firstLineChars="200"/>
        <w:jc w:val="left"/>
        <w:rPr>
          <w:rFonts w:hint="eastAsia" w:ascii="仿宋" w:hAnsi="仿宋" w:eastAsia="仿宋"/>
          <w:sz w:val="28"/>
        </w:rPr>
      </w:pPr>
      <w:r>
        <w:rPr>
          <w:rFonts w:hint="eastAsia" w:ascii="仿宋" w:hAnsi="仿宋" w:eastAsia="仿宋"/>
          <w:sz w:val="28"/>
        </w:rPr>
        <w:t>供用电设施产权分界点以文字和《供电接线及产权分界示意图》（附件2）表述；如二者不一致，以本条文字描述为准。</w:t>
      </w:r>
    </w:p>
    <w:p>
      <w:pPr>
        <w:snapToGrid w:val="0"/>
        <w:spacing w:line="480" w:lineRule="exact"/>
        <w:ind w:firstLine="560" w:firstLineChars="200"/>
        <w:jc w:val="left"/>
        <w:rPr>
          <w:rFonts w:hint="eastAsia" w:ascii="仿宋" w:hAnsi="仿宋" w:eastAsia="仿宋"/>
          <w:sz w:val="28"/>
        </w:rPr>
      </w:pPr>
      <w:r>
        <w:rPr>
          <w:rFonts w:hint="eastAsia" w:ascii="仿宋" w:hAnsi="仿宋" w:eastAsia="仿宋"/>
          <w:sz w:val="28"/>
        </w:rPr>
        <w:t>本条约定的分界点电源侧产权属供电人，分界点负荷侧产权属用电人。双方各自承担其产权范围内供用电设施的运行维护管理责任，并承担各自产权范围内供用电设施上发生事故等引起的法律责任。</w:t>
      </w:r>
    </w:p>
    <w:p>
      <w:pPr>
        <w:pStyle w:val="2"/>
        <w:spacing w:line="480" w:lineRule="exact"/>
        <w:ind w:firstLine="560"/>
        <w:rPr>
          <w:rFonts w:hint="eastAsia" w:ascii="黑体" w:hAnsi="方正仿宋_GBK" w:eastAsia="黑体"/>
          <w:b w:val="0"/>
          <w:kern w:val="2"/>
          <w:sz w:val="28"/>
        </w:rPr>
      </w:pPr>
      <w:bookmarkStart w:id="7" w:name="_Toc468783705"/>
      <w:bookmarkStart w:id="8" w:name="_Toc252599129"/>
      <w:bookmarkStart w:id="9" w:name="_Toc252795108"/>
      <w:r>
        <w:rPr>
          <w:rFonts w:hint="eastAsia" w:ascii="黑体" w:hAnsi="方正仿宋_GBK" w:eastAsia="黑体"/>
          <w:b w:val="0"/>
          <w:kern w:val="2"/>
          <w:sz w:val="28"/>
        </w:rPr>
        <w:t>4.用电计量</w:t>
      </w:r>
      <w:bookmarkEnd w:id="7"/>
      <w:bookmarkEnd w:id="8"/>
      <w:bookmarkEnd w:id="9"/>
    </w:p>
    <w:p>
      <w:pPr>
        <w:snapToGrid w:val="0"/>
        <w:spacing w:line="480" w:lineRule="exact"/>
        <w:ind w:firstLine="560" w:firstLineChars="200"/>
        <w:jc w:val="left"/>
        <w:rPr>
          <w:rFonts w:hint="eastAsia" w:ascii="仿宋" w:hAnsi="仿宋" w:eastAsia="仿宋"/>
          <w:sz w:val="28"/>
        </w:rPr>
      </w:pPr>
      <w:r>
        <w:rPr>
          <w:rFonts w:hint="eastAsia" w:ascii="仿宋" w:hAnsi="仿宋" w:eastAsia="仿宋"/>
          <w:sz w:val="28"/>
        </w:rPr>
        <w:t>4.1用电计量装置</w:t>
      </w:r>
    </w:p>
    <w:p>
      <w:pPr>
        <w:snapToGrid w:val="0"/>
        <w:spacing w:line="480" w:lineRule="exact"/>
        <w:ind w:firstLine="560" w:firstLineChars="200"/>
        <w:jc w:val="left"/>
        <w:rPr>
          <w:rFonts w:hint="eastAsia" w:ascii="仿宋" w:hAnsi="仿宋" w:eastAsia="仿宋"/>
          <w:sz w:val="28"/>
          <w:shd w:val="clear" w:color="auto" w:fill="FFFF00"/>
        </w:rPr>
      </w:pPr>
      <w:r>
        <w:rPr>
          <w:rFonts w:hint="eastAsia" w:ascii="仿宋" w:hAnsi="仿宋" w:eastAsia="仿宋"/>
          <w:sz w:val="28"/>
        </w:rPr>
        <w:t xml:space="preserve">□普通电能表   □费控电能表    □其他   </w:t>
      </w:r>
      <w:r>
        <w:rPr>
          <w:rFonts w:hint="eastAsia" w:ascii="仿宋" w:hAnsi="仿宋" w:eastAsia="仿宋"/>
          <w:sz w:val="28"/>
          <w:highlight w:val="yellow"/>
          <w:shd w:val="clear" w:color="auto" w:fill="FFFF00"/>
          <w:lang w:eastAsia="zh-CN"/>
        </w:rPr>
        <w:t>（三选一）</w:t>
      </w:r>
      <w:r>
        <w:rPr>
          <w:rFonts w:hint="eastAsia" w:ascii="仿宋" w:hAnsi="仿宋" w:eastAsia="仿宋"/>
          <w:sz w:val="28"/>
          <w:shd w:val="clear" w:color="auto" w:fill="FFFF00"/>
        </w:rPr>
        <w:t xml:space="preserve"> </w:t>
      </w:r>
    </w:p>
    <w:p>
      <w:pPr>
        <w:snapToGrid w:val="0"/>
        <w:spacing w:line="480" w:lineRule="exact"/>
        <w:ind w:firstLine="560" w:firstLineChars="200"/>
        <w:jc w:val="left"/>
        <w:rPr>
          <w:rFonts w:hint="eastAsia" w:ascii="仿宋" w:hAnsi="仿宋" w:eastAsia="仿宋"/>
          <w:sz w:val="28"/>
          <w:shd w:val="clear" w:color="auto" w:fill="FFFF00"/>
        </w:rPr>
      </w:pPr>
      <w:r>
        <w:rPr>
          <w:rFonts w:hint="eastAsia" w:ascii="仿宋_GB2312" w:hAnsi="仿宋_GB2312" w:eastAsia="仿宋_GB2312"/>
          <w:sz w:val="28"/>
          <w:highlight w:val="yellow"/>
          <w:u w:val="none" w:color="auto"/>
          <w:shd w:val="clear" w:color="auto" w:fill="FFFF00"/>
          <w:lang w:eastAsia="zh-CN"/>
        </w:rPr>
        <w:t>如果采用费控电能表时，为履行供电人的告知义务，应在第20条特别约定条款中约定断电报警的方式。示例：“费控电能表欠费断电报警方式有两种：（1）当表内余额不足  元时，费控电能表的报警灯亮或显示屏背光灯常亮，用电人应及时购电；（2）当表内余额为零时，费控电能表将自动断电，显示屏上显示数据为零及“请购电、拉闸”字符，报警灯亮或显示屏背光灯常亮。用电人及时预交电费即可恢复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4.2按照规定，每一受电点内按不同电价类别分别安装电能计量装置，其记录作为向用电人计算电费的依据。</w:t>
      </w:r>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sz w:val="28"/>
          <w:highlight w:val="yellow"/>
          <w:shd w:val="clear" w:color="auto" w:fill="FFFF00"/>
        </w:rPr>
        <w:t>如果</w:t>
      </w:r>
      <w:r>
        <w:rPr>
          <w:rFonts w:hint="eastAsia" w:ascii="仿宋_GB2312" w:hAnsi="仿宋_GB2312" w:eastAsia="仿宋_GB2312"/>
          <w:sz w:val="28"/>
          <w:highlight w:val="yellow"/>
          <w:shd w:val="clear" w:color="auto" w:fill="FFFF00"/>
          <w:lang w:eastAsia="zh-CN"/>
        </w:rPr>
        <w:t>计量</w:t>
      </w:r>
      <w:r>
        <w:rPr>
          <w:rFonts w:hint="eastAsia" w:ascii="仿宋_GB2312" w:hAnsi="仿宋_GB2312" w:eastAsia="仿宋_GB2312"/>
          <w:sz w:val="28"/>
          <w:highlight w:val="yellow"/>
          <w:shd w:val="clear" w:color="auto" w:fill="FFFF00"/>
        </w:rPr>
        <w:t>点只有一个，那么就删除</w:t>
      </w:r>
      <w:r>
        <w:rPr>
          <w:rFonts w:hint="eastAsia" w:ascii="仿宋_GB2312" w:hAnsi="仿宋_GB2312" w:eastAsia="仿宋_GB2312"/>
          <w:sz w:val="28"/>
          <w:highlight w:val="yellow"/>
          <w:shd w:val="clear" w:color="auto" w:fill="FFFF00"/>
          <w:lang w:eastAsia="zh-CN"/>
        </w:rPr>
        <w:t>（1）序号</w:t>
      </w:r>
      <w:r>
        <w:rPr>
          <w:rFonts w:hint="eastAsia" w:ascii="仿宋_GB2312" w:hAnsi="仿宋_GB2312" w:eastAsia="仿宋_GB2312"/>
          <w:sz w:val="28"/>
          <w:highlight w:val="yellow"/>
          <w:shd w:val="clear" w:color="auto" w:fill="FFFF00"/>
        </w:rPr>
        <w:t>，删除</w:t>
      </w:r>
      <w:r>
        <w:rPr>
          <w:rFonts w:hint="eastAsia" w:ascii="仿宋_GB2312" w:hAnsi="仿宋_GB2312" w:eastAsia="仿宋_GB2312"/>
          <w:sz w:val="28"/>
          <w:highlight w:val="yellow"/>
          <w:shd w:val="clear" w:color="auto" w:fill="FFFF00"/>
          <w:lang w:eastAsia="zh-CN"/>
        </w:rPr>
        <w:t>（2）</w:t>
      </w:r>
      <w:r>
        <w:rPr>
          <w:rFonts w:hint="eastAsia" w:ascii="仿宋_GB2312" w:hAnsi="仿宋_GB2312" w:eastAsia="仿宋_GB2312"/>
          <w:sz w:val="28"/>
          <w:highlight w:val="yellow"/>
          <w:shd w:val="clear" w:color="auto" w:fill="FFFF00"/>
        </w:rPr>
        <w:t>整条内容</w:t>
      </w:r>
      <w:r>
        <w:rPr>
          <w:rFonts w:hint="eastAsia" w:ascii="仿宋_GB2312" w:hAnsi="仿宋_GB2312" w:eastAsia="仿宋_GB2312"/>
          <w:sz w:val="28"/>
          <w:highlight w:val="yellow"/>
          <w:shd w:val="clear" w:color="auto" w:fill="FFFF00"/>
          <w:lang w:eastAsia="zh-CN"/>
        </w:rPr>
        <w:t>，仅</w:t>
      </w:r>
      <w:r>
        <w:rPr>
          <w:rFonts w:hint="eastAsia" w:ascii="仿宋_GB2312" w:hAnsi="仿宋_GB2312" w:eastAsia="仿宋_GB2312"/>
          <w:sz w:val="28"/>
          <w:highlight w:val="yellow"/>
          <w:shd w:val="clear" w:color="auto" w:fill="FFFF00"/>
        </w:rPr>
        <w:t>填写</w:t>
      </w:r>
      <w:r>
        <w:rPr>
          <w:rFonts w:hint="eastAsia" w:ascii="仿宋_GB2312" w:hAnsi="仿宋_GB2312" w:eastAsia="仿宋_GB2312"/>
          <w:sz w:val="28"/>
          <w:highlight w:val="yellow"/>
          <w:shd w:val="clear" w:color="auto" w:fill="FFFF00"/>
          <w:lang w:eastAsia="zh-CN"/>
        </w:rPr>
        <w:t>（1）</w:t>
      </w:r>
      <w:r>
        <w:rPr>
          <w:rFonts w:hint="eastAsia" w:ascii="仿宋_GB2312" w:hAnsi="仿宋_GB2312" w:eastAsia="仿宋_GB2312"/>
          <w:sz w:val="28"/>
          <w:highlight w:val="yellow"/>
          <w:shd w:val="clear" w:color="auto" w:fill="FFFF00"/>
        </w:rPr>
        <w:t>条</w:t>
      </w:r>
      <w:r>
        <w:rPr>
          <w:rFonts w:hint="eastAsia" w:ascii="仿宋_GB2312" w:hAnsi="仿宋_GB2312" w:eastAsia="仿宋_GB2312"/>
          <w:sz w:val="28"/>
          <w:highlight w:val="yellow"/>
          <w:shd w:val="clear" w:color="auto" w:fill="FFFF00"/>
          <w:lang w:eastAsia="zh-CN"/>
        </w:rPr>
        <w:t>相关</w:t>
      </w:r>
      <w:r>
        <w:rPr>
          <w:rFonts w:hint="eastAsia" w:ascii="仿宋_GB2312" w:hAnsi="仿宋_GB2312" w:eastAsia="仿宋_GB2312"/>
          <w:sz w:val="28"/>
          <w:highlight w:val="yellow"/>
          <w:shd w:val="clear" w:color="auto" w:fill="FFFF00"/>
        </w:rPr>
        <w:t>内容。如果还有第</w:t>
      </w:r>
      <w:r>
        <w:rPr>
          <w:rFonts w:hint="eastAsia" w:ascii="仿宋_GB2312" w:hAnsi="仿宋_GB2312" w:eastAsia="仿宋_GB2312"/>
          <w:sz w:val="28"/>
          <w:highlight w:val="yellow"/>
          <w:shd w:val="clear" w:color="auto" w:fill="FFFF00"/>
          <w:lang w:eastAsia="zh-CN"/>
        </w:rPr>
        <w:t>3个计量点</w:t>
      </w:r>
      <w:r>
        <w:rPr>
          <w:rFonts w:hint="eastAsia" w:ascii="仿宋_GB2312" w:hAnsi="仿宋_GB2312" w:eastAsia="仿宋_GB2312"/>
          <w:sz w:val="28"/>
          <w:highlight w:val="yellow"/>
          <w:shd w:val="clear" w:color="auto" w:fill="FFFF00"/>
        </w:rPr>
        <w:t>，则增加</w:t>
      </w:r>
      <w:r>
        <w:rPr>
          <w:rFonts w:hint="eastAsia" w:ascii="仿宋_GB2312" w:hAnsi="仿宋_GB2312" w:eastAsia="仿宋_GB2312"/>
          <w:sz w:val="28"/>
          <w:highlight w:val="yellow"/>
          <w:shd w:val="clear" w:color="auto" w:fill="FFFF00"/>
          <w:lang w:eastAsia="zh-CN"/>
        </w:rPr>
        <w:t xml:space="preserve">（3）计量点3 </w:t>
      </w:r>
      <w:r>
        <w:rPr>
          <w:rFonts w:hint="eastAsia" w:ascii="仿宋_GB2312" w:hAnsi="仿宋_GB2312" w:eastAsia="仿宋_GB2312"/>
          <w:sz w:val="28"/>
          <w:highlight w:val="yellow"/>
          <w:shd w:val="clear" w:color="auto" w:fill="FFFF00"/>
        </w:rPr>
        <w:t>条</w:t>
      </w:r>
      <w:r>
        <w:rPr>
          <w:rFonts w:hint="eastAsia" w:ascii="仿宋_GB2312" w:hAnsi="仿宋_GB2312" w:eastAsia="仿宋_GB2312"/>
          <w:sz w:val="28"/>
          <w:highlight w:val="yellow"/>
          <w:shd w:val="clear" w:color="auto" w:fill="FFFF00"/>
          <w:lang w:eastAsia="zh-CN"/>
        </w:rPr>
        <w:t>款</w:t>
      </w:r>
      <w:r>
        <w:rPr>
          <w:rFonts w:hint="eastAsia" w:ascii="仿宋_GB2312" w:hAnsi="仿宋_GB2312" w:eastAsia="仿宋_GB2312"/>
          <w:sz w:val="28"/>
          <w:highlight w:val="yellow"/>
          <w:shd w:val="clear" w:color="auto" w:fill="FFFF00"/>
        </w:rPr>
        <w:t>，以此类推</w:t>
      </w:r>
      <w:r>
        <w:rPr>
          <w:rFonts w:hint="eastAsia" w:ascii="仿宋_GB2312" w:hAnsi="仿宋_GB2312" w:eastAsia="仿宋_GB2312"/>
          <w:sz w:val="28"/>
          <w:highlight w:val="yellow"/>
        </w:rPr>
        <w:t>。</w:t>
      </w:r>
    </w:p>
    <w:p>
      <w:pPr>
        <w:numPr>
          <w:ilvl w:val="0"/>
          <w:numId w:val="2"/>
        </w:numPr>
        <w:snapToGrid w:val="0"/>
        <w:spacing w:line="480" w:lineRule="exact"/>
        <w:ind w:firstLine="560" w:firstLineChars="200"/>
        <w:rPr>
          <w:rFonts w:hint="eastAsia" w:ascii="仿宋" w:hAnsi="仿宋" w:eastAsia="仿宋"/>
          <w:sz w:val="28"/>
        </w:rPr>
      </w:pPr>
      <w:r>
        <w:rPr>
          <w:rFonts w:hint="eastAsia" w:ascii="仿宋" w:hAnsi="仿宋" w:eastAsia="仿宋"/>
          <w:sz w:val="28"/>
        </w:rPr>
        <w:t>计量点1：计量装置装设在</w:t>
      </w:r>
      <w:r>
        <w:rPr>
          <w:rFonts w:hint="eastAsia" w:ascii="仿宋" w:hAnsi="仿宋" w:eastAsia="仿宋"/>
          <w:sz w:val="28"/>
          <w:u w:val="single"/>
        </w:rPr>
        <w:t xml:space="preserve">         </w:t>
      </w:r>
      <w:r>
        <w:rPr>
          <w:rFonts w:hint="eastAsia" w:ascii="仿宋_GB2312" w:hAnsi="仿宋_GB2312" w:eastAsia="仿宋_GB2312"/>
          <w:kern w:val="0"/>
          <w:sz w:val="28"/>
          <w:highlight w:val="yellow"/>
          <w:shd w:val="clear" w:color="auto" w:fill="FFFF00"/>
          <w:lang w:val="en-US" w:eastAsia="zh-CN"/>
        </w:rPr>
        <w:t>一般填写为“低压计量柜(箱)”</w:t>
      </w:r>
      <w:r>
        <w:rPr>
          <w:rFonts w:hint="eastAsia" w:ascii="仿宋" w:hAnsi="仿宋" w:eastAsia="仿宋"/>
          <w:sz w:val="28"/>
          <w:shd w:val="clear" w:color="auto" w:fill="FFFF00"/>
        </w:rPr>
        <w:t>处</w:t>
      </w:r>
      <w:r>
        <w:rPr>
          <w:rFonts w:hint="eastAsia" w:ascii="仿宋" w:hAnsi="仿宋" w:eastAsia="仿宋"/>
          <w:sz w:val="28"/>
        </w:rPr>
        <w:t>，为</w:t>
      </w:r>
      <w:r>
        <w:rPr>
          <w:rFonts w:hint="eastAsia" w:ascii="仿宋" w:hAnsi="仿宋" w:eastAsia="仿宋"/>
          <w:sz w:val="28"/>
          <w:highlight w:val="yellow"/>
          <w:u w:val="single"/>
          <w:shd w:val="clear" w:color="auto" w:fill="FFFF00"/>
        </w:rPr>
        <w:t>总/分表</w:t>
      </w:r>
      <w:r>
        <w:rPr>
          <w:rFonts w:hint="eastAsia" w:ascii="仿宋_GB2312" w:hAnsi="仿宋_GB2312" w:eastAsia="仿宋_GB2312"/>
          <w:kern w:val="0"/>
          <w:sz w:val="28"/>
          <w:highlight w:val="yellow"/>
          <w:u w:val="single"/>
          <w:shd w:val="clear" w:color="auto" w:fill="FFFF00"/>
          <w:lang w:val="en-US" w:eastAsia="zh-CN"/>
        </w:rPr>
        <w:t>二选一</w:t>
      </w:r>
      <w:r>
        <w:rPr>
          <w:rFonts w:hint="eastAsia" w:ascii="仿宋" w:hAnsi="仿宋" w:eastAsia="仿宋"/>
          <w:sz w:val="28"/>
        </w:rPr>
        <w:t>，记录数据作为用电人</w:t>
      </w:r>
      <w:r>
        <w:rPr>
          <w:rFonts w:hint="eastAsia" w:ascii="仿宋" w:hAnsi="仿宋" w:eastAsia="仿宋"/>
          <w:sz w:val="28"/>
          <w:u w:val="single"/>
        </w:rPr>
        <w:t xml:space="preserve">   </w:t>
      </w:r>
      <w:r>
        <w:rPr>
          <w:rFonts w:hint="eastAsia" w:ascii="仿宋" w:hAnsi="仿宋" w:eastAsia="仿宋"/>
          <w:sz w:val="28"/>
          <w:u w:val="single"/>
          <w:lang w:eastAsia="zh-CN"/>
        </w:rPr>
        <w:t xml:space="preserve">     </w:t>
      </w:r>
      <w:r>
        <w:rPr>
          <w:rFonts w:hint="eastAsia" w:ascii="仿宋" w:hAnsi="仿宋" w:eastAsia="仿宋"/>
          <w:sz w:val="28"/>
          <w:u w:val="single"/>
        </w:rPr>
        <w:t xml:space="preserve"> </w:t>
      </w:r>
      <w:r>
        <w:rPr>
          <w:rFonts w:hint="eastAsia" w:ascii="仿宋_GB2312" w:hAnsi="仿宋_GB2312" w:eastAsia="仿宋_GB2312"/>
          <w:kern w:val="0"/>
          <w:sz w:val="28"/>
          <w:highlight w:val="yellow"/>
          <w:shd w:val="clear" w:color="auto" w:fill="FFFF00"/>
        </w:rPr>
        <w:t>按用电</w:t>
      </w:r>
      <w:r>
        <w:rPr>
          <w:rFonts w:hint="eastAsia" w:ascii="仿宋_GB2312" w:hAnsi="仿宋_GB2312" w:eastAsia="仿宋_GB2312"/>
          <w:kern w:val="0"/>
          <w:sz w:val="28"/>
          <w:highlight w:val="yellow"/>
          <w:shd w:val="clear" w:color="auto" w:fill="FFFF00"/>
          <w:lang w:eastAsia="zh-CN"/>
        </w:rPr>
        <w:t>类别</w:t>
      </w:r>
      <w:r>
        <w:rPr>
          <w:rFonts w:hint="eastAsia" w:ascii="仿宋_GB2312" w:hAnsi="仿宋_GB2312" w:eastAsia="仿宋_GB2312"/>
          <w:kern w:val="0"/>
          <w:sz w:val="28"/>
          <w:highlight w:val="yellow"/>
          <w:shd w:val="clear" w:color="auto" w:fill="FFFF00"/>
        </w:rPr>
        <w:t>填写，如普通工业，其他按实际填写。如有多个计量点，按实际分别填写</w:t>
      </w:r>
      <w:r>
        <w:rPr>
          <w:rFonts w:hint="eastAsia" w:ascii="仿宋" w:hAnsi="仿宋" w:eastAsia="仿宋"/>
          <w:sz w:val="28"/>
          <w:shd w:val="clear" w:color="auto" w:fill="FFFF00"/>
        </w:rPr>
        <w:t>类别</w:t>
      </w:r>
      <w:r>
        <w:rPr>
          <w:rFonts w:hint="eastAsia" w:ascii="仿宋" w:hAnsi="仿宋" w:eastAsia="仿宋"/>
          <w:sz w:val="28"/>
        </w:rPr>
        <w:t>用电量的计量依据。</w:t>
      </w:r>
    </w:p>
    <w:p>
      <w:pPr>
        <w:widowControl w:val="0"/>
        <w:numPr>
          <w:ilvl w:val="0"/>
          <w:numId w:val="0"/>
        </w:numPr>
        <w:snapToGrid w:val="0"/>
        <w:spacing w:line="480" w:lineRule="exact"/>
        <w:ind w:left="0" w:leftChars="0" w:firstLine="0" w:firstLineChars="0"/>
        <w:jc w:val="both"/>
        <w:rPr>
          <w:rFonts w:hint="eastAsia" w:ascii="仿宋" w:hAnsi="仿宋" w:eastAsia="仿宋"/>
          <w:sz w:val="28"/>
        </w:rPr>
      </w:pPr>
      <w:r>
        <w:rPr>
          <w:rFonts w:hint="eastAsia" w:ascii="仿宋_GB2312" w:hAnsi="仿宋_GB2312" w:eastAsia="仿宋_GB2312"/>
          <w:sz w:val="28"/>
          <w:highlight w:val="yellow"/>
          <w:lang w:eastAsia="zh-CN"/>
        </w:rPr>
        <w:t xml:space="preserve">     </w:t>
      </w:r>
      <w:r>
        <w:rPr>
          <w:rFonts w:hint="eastAsia" w:ascii="仿宋" w:hAnsi="仿宋" w:eastAsia="仿宋"/>
          <w:sz w:val="28"/>
        </w:rPr>
        <w:t>（2）计量点2：计量装置装设在</w:t>
      </w:r>
      <w:r>
        <w:rPr>
          <w:rFonts w:hint="eastAsia" w:ascii="仿宋" w:hAnsi="仿宋" w:eastAsia="仿宋"/>
          <w:sz w:val="28"/>
          <w:u w:val="single"/>
        </w:rPr>
        <w:t xml:space="preserve">         </w:t>
      </w:r>
      <w:r>
        <w:rPr>
          <w:rFonts w:hint="eastAsia" w:ascii="仿宋_GB2312" w:hAnsi="仿宋_GB2312" w:eastAsia="仿宋_GB2312"/>
          <w:kern w:val="0"/>
          <w:sz w:val="28"/>
          <w:highlight w:val="yellow"/>
          <w:shd w:val="clear" w:color="auto" w:fill="FFFF00"/>
          <w:lang w:val="en-US" w:eastAsia="zh-CN"/>
        </w:rPr>
        <w:t>一般填写为“低压计量柜(箱)”</w:t>
      </w:r>
      <w:r>
        <w:rPr>
          <w:rFonts w:hint="eastAsia" w:ascii="仿宋" w:hAnsi="仿宋" w:eastAsia="仿宋"/>
          <w:sz w:val="28"/>
          <w:shd w:val="clear" w:color="auto" w:fill="FFFF00"/>
        </w:rPr>
        <w:t>处</w:t>
      </w:r>
      <w:r>
        <w:rPr>
          <w:rFonts w:hint="eastAsia" w:ascii="仿宋" w:hAnsi="仿宋" w:eastAsia="仿宋"/>
          <w:sz w:val="28"/>
        </w:rPr>
        <w:t>，为</w:t>
      </w:r>
      <w:r>
        <w:rPr>
          <w:rFonts w:hint="eastAsia" w:ascii="仿宋" w:hAnsi="仿宋" w:eastAsia="仿宋"/>
          <w:sz w:val="28"/>
          <w:highlight w:val="yellow"/>
          <w:u w:val="single"/>
          <w:shd w:val="clear" w:color="auto" w:fill="FFFF00"/>
        </w:rPr>
        <w:t>总/分表</w:t>
      </w:r>
      <w:r>
        <w:rPr>
          <w:rFonts w:hint="eastAsia" w:ascii="仿宋_GB2312" w:hAnsi="仿宋_GB2312" w:eastAsia="仿宋_GB2312"/>
          <w:kern w:val="0"/>
          <w:sz w:val="28"/>
          <w:highlight w:val="yellow"/>
          <w:u w:val="single"/>
          <w:shd w:val="clear" w:color="auto" w:fill="FFFF00"/>
          <w:lang w:val="en-US" w:eastAsia="zh-CN"/>
        </w:rPr>
        <w:t>二选一</w:t>
      </w:r>
      <w:r>
        <w:rPr>
          <w:rFonts w:hint="eastAsia" w:ascii="仿宋" w:hAnsi="仿宋" w:eastAsia="仿宋"/>
          <w:sz w:val="28"/>
        </w:rPr>
        <w:t>，记录数据作为用电人</w:t>
      </w:r>
      <w:r>
        <w:rPr>
          <w:rFonts w:hint="eastAsia" w:ascii="仿宋" w:hAnsi="仿宋" w:eastAsia="仿宋"/>
          <w:sz w:val="28"/>
          <w:u w:val="single"/>
        </w:rPr>
        <w:t xml:space="preserve">   </w:t>
      </w:r>
      <w:r>
        <w:rPr>
          <w:rFonts w:hint="eastAsia" w:ascii="仿宋" w:hAnsi="仿宋" w:eastAsia="仿宋"/>
          <w:sz w:val="28"/>
          <w:u w:val="single"/>
          <w:lang w:eastAsia="zh-CN"/>
        </w:rPr>
        <w:t xml:space="preserve">     </w:t>
      </w:r>
      <w:r>
        <w:rPr>
          <w:rFonts w:hint="eastAsia" w:ascii="仿宋" w:hAnsi="仿宋" w:eastAsia="仿宋"/>
          <w:sz w:val="28"/>
          <w:u w:val="single"/>
        </w:rPr>
        <w:t xml:space="preserve"> </w:t>
      </w:r>
      <w:r>
        <w:rPr>
          <w:rFonts w:hint="eastAsia" w:ascii="仿宋_GB2312" w:hAnsi="仿宋_GB2312" w:eastAsia="仿宋_GB2312"/>
          <w:kern w:val="0"/>
          <w:sz w:val="28"/>
          <w:highlight w:val="yellow"/>
          <w:shd w:val="clear" w:color="auto" w:fill="FFFF00"/>
        </w:rPr>
        <w:t>按用电</w:t>
      </w:r>
      <w:r>
        <w:rPr>
          <w:rFonts w:hint="eastAsia" w:ascii="仿宋_GB2312" w:hAnsi="仿宋_GB2312" w:eastAsia="仿宋_GB2312"/>
          <w:kern w:val="0"/>
          <w:sz w:val="28"/>
          <w:highlight w:val="yellow"/>
          <w:shd w:val="clear" w:color="auto" w:fill="FFFF00"/>
          <w:lang w:eastAsia="zh-CN"/>
        </w:rPr>
        <w:t>类别</w:t>
      </w:r>
      <w:r>
        <w:rPr>
          <w:rFonts w:hint="eastAsia" w:ascii="仿宋_GB2312" w:hAnsi="仿宋_GB2312" w:eastAsia="仿宋_GB2312"/>
          <w:kern w:val="0"/>
          <w:sz w:val="28"/>
          <w:highlight w:val="yellow"/>
          <w:shd w:val="clear" w:color="auto" w:fill="FFFF00"/>
        </w:rPr>
        <w:t>填写，如普通工业，其他按实际填写。如有多个计量点，按实际分别填写</w:t>
      </w:r>
      <w:r>
        <w:rPr>
          <w:rFonts w:hint="eastAsia" w:ascii="仿宋" w:hAnsi="仿宋" w:eastAsia="仿宋"/>
          <w:sz w:val="28"/>
          <w:shd w:val="clear" w:color="auto" w:fill="FFFF00"/>
        </w:rPr>
        <w:t>类别</w:t>
      </w:r>
      <w:r>
        <w:rPr>
          <w:rFonts w:hint="eastAsia" w:ascii="仿宋" w:hAnsi="仿宋" w:eastAsia="仿宋"/>
          <w:sz w:val="28"/>
        </w:rPr>
        <w:t>用电量的计量依据。</w:t>
      </w:r>
    </w:p>
    <w:p>
      <w:pPr>
        <w:snapToGrid w:val="0"/>
        <w:spacing w:line="480" w:lineRule="exact"/>
        <w:ind w:firstLine="560" w:firstLineChars="200"/>
        <w:rPr>
          <w:rFonts w:hint="eastAsia" w:ascii="仿宋" w:hAnsi="仿宋" w:eastAsia="仿宋"/>
          <w:sz w:val="28"/>
        </w:rPr>
      </w:pPr>
      <w:bookmarkStart w:id="10" w:name="_Toc252598715"/>
      <w:r>
        <w:rPr>
          <w:rFonts w:hint="eastAsia" w:ascii="仿宋" w:hAnsi="仿宋" w:eastAsia="仿宋"/>
          <w:sz w:val="28"/>
        </w:rPr>
        <w:t>4.3未分别计量的电量认定：</w:t>
      </w:r>
      <w:bookmarkEnd w:id="10"/>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kern w:val="0"/>
          <w:sz w:val="28"/>
          <w:highlight w:val="yellow"/>
          <w:shd w:val="clear" w:color="auto" w:fill="FFFF00"/>
        </w:rPr>
        <w:t>按实际填写，没有</w:t>
      </w:r>
      <w:r>
        <w:rPr>
          <w:rFonts w:hint="eastAsia" w:ascii="仿宋_GB2312" w:hAnsi="仿宋_GB2312" w:eastAsia="仿宋_GB2312"/>
          <w:kern w:val="0"/>
          <w:sz w:val="28"/>
          <w:highlight w:val="yellow"/>
          <w:shd w:val="clear" w:color="auto" w:fill="FFFF00"/>
          <w:lang w:eastAsia="zh-CN"/>
        </w:rPr>
        <w:t>的</w:t>
      </w:r>
      <w:r>
        <w:rPr>
          <w:rFonts w:hint="eastAsia" w:ascii="仿宋_GB2312" w:hAnsi="仿宋_GB2312" w:eastAsia="仿宋_GB2312"/>
          <w:kern w:val="0"/>
          <w:sz w:val="28"/>
          <w:highlight w:val="yellow"/>
          <w:shd w:val="clear" w:color="auto" w:fill="FFFF00"/>
        </w:rPr>
        <w:t>填写</w:t>
      </w:r>
      <w:r>
        <w:rPr>
          <w:rFonts w:hint="eastAsia" w:ascii="仿宋_GB2312" w:hAnsi="仿宋_GB2312" w:eastAsia="仿宋_GB2312"/>
          <w:sz w:val="28"/>
          <w:highlight w:val="yellow"/>
          <w:shd w:val="clear" w:color="auto" w:fill="FFFF00"/>
        </w:rPr>
        <w:t>“/”</w:t>
      </w:r>
      <w:r>
        <w:rPr>
          <w:rFonts w:hint="eastAsia" w:ascii="仿宋_GB2312" w:hAnsi="仿宋_GB2312" w:eastAsia="仿宋_GB2312"/>
          <w:sz w:val="28"/>
          <w:highlight w:val="yellow"/>
          <w:lang w:eastAsia="zh-CN"/>
        </w:rPr>
        <w:t>。</w:t>
      </w:r>
    </w:p>
    <w:p>
      <w:pPr>
        <w:snapToGrid w:val="0"/>
        <w:spacing w:line="480" w:lineRule="exact"/>
        <w:ind w:firstLine="560" w:firstLineChars="200"/>
        <w:rPr>
          <w:rFonts w:hint="eastAsia" w:ascii="仿宋" w:hAnsi="仿宋" w:eastAsia="仿宋"/>
          <w:sz w:val="28"/>
          <w:u w:val="single"/>
        </w:rPr>
      </w:pPr>
      <w:r>
        <w:rPr>
          <w:rFonts w:hint="eastAsia" w:ascii="仿宋" w:hAnsi="仿宋" w:eastAsia="仿宋"/>
          <w:sz w:val="28"/>
          <w:u w:val="single"/>
        </w:rPr>
        <w:t xml:space="preserve">         </w:t>
      </w:r>
      <w:r>
        <w:rPr>
          <w:rFonts w:hint="eastAsia" w:ascii="仿宋" w:hAnsi="仿宋" w:eastAsia="仿宋"/>
          <w:sz w:val="28"/>
        </w:rPr>
        <w:t>计量装置计量的电量包含多种电价类别的电量，对</w:t>
      </w:r>
      <w:r>
        <w:rPr>
          <w:rFonts w:hint="eastAsia" w:ascii="仿宋" w:hAnsi="仿宋" w:eastAsia="仿宋"/>
          <w:sz w:val="28"/>
          <w:u w:val="single"/>
        </w:rPr>
        <w:t xml:space="preserve">         </w:t>
      </w:r>
    </w:p>
    <w:p>
      <w:pPr>
        <w:snapToGrid w:val="0"/>
        <w:spacing w:line="480" w:lineRule="exact"/>
        <w:ind w:firstLine="140" w:firstLineChars="50"/>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电价类别的用电量，每月按以下第</w:t>
      </w:r>
      <w:r>
        <w:rPr>
          <w:rFonts w:hint="eastAsia" w:ascii="仿宋" w:hAnsi="仿宋" w:eastAsia="仿宋"/>
          <w:sz w:val="28"/>
          <w:u w:val="single"/>
        </w:rPr>
        <w:t xml:space="preserve">    </w:t>
      </w:r>
      <w:r>
        <w:rPr>
          <w:rFonts w:hint="eastAsia" w:ascii="仿宋" w:hAnsi="仿宋" w:eastAsia="仿宋"/>
          <w:sz w:val="28"/>
        </w:rPr>
        <w:t>种方式确定：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w:t>
      </w:r>
      <w:r>
        <w:rPr>
          <w:rFonts w:hint="eastAsia" w:ascii="仿宋" w:hAnsi="仿宋" w:eastAsia="仿宋"/>
          <w:color w:val="000000"/>
          <w:sz w:val="28"/>
          <w:u w:val="single"/>
        </w:rPr>
        <w:t xml:space="preserve">      </w:t>
      </w:r>
      <w:r>
        <w:rPr>
          <w:rFonts w:hint="eastAsia" w:ascii="仿宋" w:hAnsi="仿宋" w:eastAsia="仿宋"/>
          <w:color w:val="000000"/>
          <w:sz w:val="28"/>
        </w:rPr>
        <w:t>电量</w:t>
      </w:r>
      <w:r>
        <w:rPr>
          <w:rFonts w:hint="eastAsia" w:ascii="仿宋" w:hAnsi="仿宋" w:eastAsia="仿宋"/>
          <w:sz w:val="28"/>
        </w:rPr>
        <w:t>定比为：</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w:t>
      </w:r>
      <w:r>
        <w:rPr>
          <w:rFonts w:hint="eastAsia" w:ascii="仿宋" w:hAnsi="仿宋" w:eastAsia="仿宋"/>
          <w:color w:val="000000"/>
          <w:sz w:val="28"/>
          <w:u w:val="single"/>
        </w:rPr>
        <w:t xml:space="preserve">      </w:t>
      </w:r>
      <w:r>
        <w:rPr>
          <w:rFonts w:hint="eastAsia" w:ascii="仿宋" w:hAnsi="仿宋" w:eastAsia="仿宋"/>
          <w:color w:val="000000"/>
          <w:sz w:val="28"/>
        </w:rPr>
        <w:t>电量</w:t>
      </w:r>
      <w:r>
        <w:rPr>
          <w:rFonts w:hint="eastAsia" w:ascii="仿宋" w:hAnsi="仿宋" w:eastAsia="仿宋"/>
          <w:sz w:val="28"/>
        </w:rPr>
        <w:t>定量为</w:t>
      </w:r>
      <w:r>
        <w:rPr>
          <w:rFonts w:hint="eastAsia" w:ascii="仿宋" w:hAnsi="仿宋" w:eastAsia="仿宋"/>
          <w:sz w:val="28"/>
          <w:u w:val="single"/>
        </w:rPr>
        <w:t xml:space="preserve">       </w:t>
      </w:r>
      <w:r>
        <w:rPr>
          <w:rFonts w:hint="eastAsia" w:ascii="仿宋" w:hAnsi="仿宋" w:eastAsia="仿宋"/>
          <w:sz w:val="28"/>
        </w:rPr>
        <w:t>千伏安/千瓦时；</w:t>
      </w:r>
      <w:r>
        <w:rPr>
          <w:rFonts w:hint="eastAsia" w:ascii="仿宋" w:hAnsi="仿宋" w:eastAsia="仿宋"/>
          <w:color w:val="000000"/>
          <w:sz w:val="28"/>
        </w:rPr>
        <w:t>其余电量电价类别为</w:t>
      </w:r>
      <w:r>
        <w:rPr>
          <w:rFonts w:hint="eastAsia" w:ascii="仿宋" w:hAnsi="仿宋" w:eastAsia="仿宋"/>
          <w:color w:val="000000"/>
          <w:sz w:val="28"/>
          <w:u w:val="single"/>
        </w:rPr>
        <w:t xml:space="preserve">          </w:t>
      </w:r>
      <w:r>
        <w:rPr>
          <w:rFonts w:hint="eastAsia" w:ascii="仿宋" w:hAnsi="仿宋" w:eastAsia="仿宋"/>
          <w:color w:val="000000"/>
          <w:sz w:val="28"/>
        </w:rPr>
        <w:t>。</w:t>
      </w:r>
    </w:p>
    <w:p>
      <w:pPr>
        <w:pStyle w:val="7"/>
        <w:spacing w:line="480" w:lineRule="exact"/>
        <w:ind w:firstLine="560" w:firstLineChars="200"/>
        <w:rPr>
          <w:rFonts w:hint="eastAsia" w:ascii="仿宋" w:hAnsi="仿宋" w:eastAsia="仿宋"/>
          <w:sz w:val="28"/>
        </w:rPr>
      </w:pPr>
      <w:r>
        <w:rPr>
          <w:rFonts w:hint="eastAsia" w:ascii="仿宋" w:hAnsi="仿宋" w:eastAsia="仿宋"/>
          <w:sz w:val="28"/>
        </w:rPr>
        <w:t>以上方式及核定值双方每年至少可以提出重新核定一次，对方不得拒绝。重新核定后，从下一个抄表周期开始，按重新核定的比例和定量确定各类电价的用电量。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4.4各计量点计量装置配置如下：</w:t>
      </w:r>
    </w:p>
    <w:tbl>
      <w:tblPr>
        <w:tblStyle w:val="25"/>
        <w:tblW w:w="830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1700"/>
        <w:gridCol w:w="1797"/>
        <w:gridCol w:w="3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76" w:hRule="atLeast"/>
        </w:trPr>
        <w:tc>
          <w:tcPr>
            <w:tcW w:w="1243" w:type="dxa"/>
            <w:noWrap w:val="0"/>
            <w:vAlign w:val="center"/>
          </w:tcPr>
          <w:p>
            <w:pPr>
              <w:spacing w:line="480" w:lineRule="exact"/>
              <w:ind w:right="-20"/>
              <w:jc w:val="center"/>
              <w:rPr>
                <w:rFonts w:hint="eastAsia" w:ascii="仿宋" w:hAnsi="仿宋" w:eastAsia="仿宋"/>
                <w:sz w:val="28"/>
              </w:rPr>
            </w:pPr>
            <w:r>
              <w:rPr>
                <w:rFonts w:hint="eastAsia" w:ascii="仿宋" w:hAnsi="仿宋" w:eastAsia="仿宋"/>
                <w:sz w:val="28"/>
              </w:rPr>
              <w:t>计量点</w:t>
            </w:r>
          </w:p>
        </w:tc>
        <w:tc>
          <w:tcPr>
            <w:tcW w:w="1700"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计量设备</w:t>
            </w:r>
          </w:p>
          <w:p>
            <w:pPr>
              <w:spacing w:line="480" w:lineRule="exact"/>
              <w:jc w:val="center"/>
              <w:rPr>
                <w:rFonts w:hint="eastAsia" w:ascii="仿宋" w:hAnsi="仿宋" w:eastAsia="仿宋"/>
                <w:sz w:val="28"/>
              </w:rPr>
            </w:pPr>
            <w:r>
              <w:rPr>
                <w:rFonts w:hint="eastAsia" w:ascii="仿宋" w:hAnsi="仿宋" w:eastAsia="仿宋"/>
                <w:sz w:val="28"/>
              </w:rPr>
              <w:t>名称</w:t>
            </w:r>
          </w:p>
        </w:tc>
        <w:tc>
          <w:tcPr>
            <w:tcW w:w="1797"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计算倍率</w:t>
            </w:r>
          </w:p>
        </w:tc>
        <w:tc>
          <w:tcPr>
            <w:tcW w:w="3568"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备注</w:t>
            </w:r>
          </w:p>
          <w:p>
            <w:pPr>
              <w:spacing w:line="480" w:lineRule="exact"/>
              <w:jc w:val="center"/>
              <w:rPr>
                <w:rFonts w:hint="eastAsia" w:ascii="仿宋" w:hAnsi="仿宋" w:eastAsia="仿宋"/>
                <w:sz w:val="28"/>
              </w:rPr>
            </w:pPr>
            <w:r>
              <w:rPr>
                <w:rFonts w:hint="eastAsia" w:ascii="仿宋" w:hAnsi="仿宋" w:eastAsia="仿宋"/>
                <w:sz w:val="28"/>
              </w:rPr>
              <w:t>（总分表关系）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43" w:type="dxa"/>
            <w:vMerge w:val="restart"/>
            <w:noWrap w:val="0"/>
            <w:vAlign w:val="center"/>
          </w:tcPr>
          <w:p>
            <w:pPr>
              <w:snapToGrid w:val="0"/>
              <w:spacing w:line="480" w:lineRule="exact"/>
              <w:jc w:val="center"/>
              <w:rPr>
                <w:rFonts w:hint="eastAsia" w:ascii="仿宋" w:hAnsi="仿宋" w:eastAsia="仿宋"/>
                <w:color w:val="auto"/>
                <w:sz w:val="28"/>
                <w:highlight w:val="yellow"/>
                <w:lang w:eastAsia="zh-CN"/>
              </w:rPr>
            </w:pPr>
            <w:r>
              <w:rPr>
                <w:rFonts w:hint="eastAsia" w:ascii="仿宋" w:hAnsi="仿宋" w:eastAsia="仿宋"/>
                <w:color w:val="auto"/>
                <w:sz w:val="28"/>
                <w:highlight w:val="yellow"/>
                <w:lang w:eastAsia="zh-CN"/>
              </w:rPr>
              <w:t>1</w:t>
            </w:r>
          </w:p>
        </w:tc>
        <w:tc>
          <w:tcPr>
            <w:tcW w:w="1700" w:type="dxa"/>
            <w:tcBorders>
              <w:bottom w:val="single" w:color="auto" w:sz="4" w:space="0"/>
            </w:tcBorders>
            <w:noWrap w:val="0"/>
            <w:vAlign w:val="center"/>
          </w:tcPr>
          <w:p>
            <w:pPr>
              <w:snapToGrid w:val="0"/>
              <w:spacing w:line="480" w:lineRule="exact"/>
              <w:jc w:val="center"/>
              <w:rPr>
                <w:rFonts w:hint="eastAsia" w:ascii="仿宋" w:hAnsi="仿宋" w:eastAsia="仿宋"/>
                <w:color w:val="auto"/>
                <w:sz w:val="28"/>
                <w:highlight w:val="yellow"/>
              </w:rPr>
            </w:pPr>
            <w:r>
              <w:rPr>
                <w:rFonts w:hint="eastAsia" w:ascii="仿宋_GB2312" w:hAnsi="仿宋_GB2312" w:eastAsia="仿宋_GB2312"/>
                <w:color w:val="auto"/>
                <w:kern w:val="0"/>
                <w:sz w:val="28"/>
                <w:highlight w:val="yellow"/>
              </w:rPr>
              <w:t>电能表</w:t>
            </w:r>
          </w:p>
        </w:tc>
        <w:tc>
          <w:tcPr>
            <w:tcW w:w="1797" w:type="dxa"/>
            <w:tcBorders>
              <w:bottom w:val="single" w:color="auto" w:sz="4" w:space="0"/>
            </w:tcBorders>
            <w:noWrap w:val="0"/>
            <w:vAlign w:val="center"/>
          </w:tcPr>
          <w:p>
            <w:pPr>
              <w:snapToGrid w:val="0"/>
              <w:spacing w:line="480" w:lineRule="exact"/>
              <w:jc w:val="center"/>
              <w:rPr>
                <w:rFonts w:hint="eastAsia" w:ascii="仿宋" w:hAnsi="仿宋" w:eastAsia="仿宋"/>
                <w:color w:val="auto"/>
                <w:sz w:val="28"/>
                <w:highlight w:val="yellow"/>
                <w:lang w:eastAsia="zh-CN"/>
              </w:rPr>
            </w:pPr>
            <w:r>
              <w:rPr>
                <w:rFonts w:hint="eastAsia" w:ascii="仿宋" w:hAnsi="仿宋" w:eastAsia="仿宋"/>
                <w:color w:val="auto"/>
                <w:sz w:val="28"/>
                <w:highlight w:val="yellow"/>
                <w:lang w:eastAsia="zh-CN"/>
              </w:rPr>
              <w:t>20</w:t>
            </w:r>
          </w:p>
        </w:tc>
        <w:tc>
          <w:tcPr>
            <w:tcW w:w="3568" w:type="dxa"/>
            <w:tcBorders>
              <w:bottom w:val="single" w:color="auto" w:sz="4" w:space="0"/>
            </w:tcBorders>
            <w:noWrap w:val="0"/>
            <w:vAlign w:val="center"/>
          </w:tcPr>
          <w:p>
            <w:pPr>
              <w:snapToGrid w:val="0"/>
              <w:spacing w:line="480" w:lineRule="exact"/>
              <w:jc w:val="center"/>
              <w:rPr>
                <w:rFonts w:hint="eastAsia" w:ascii="仿宋" w:hAnsi="仿宋" w:eastAsia="仿宋"/>
                <w:color w:val="auto"/>
                <w:sz w:val="28"/>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43" w:type="dxa"/>
            <w:vMerge w:val="continue"/>
            <w:noWrap w:val="0"/>
            <w:vAlign w:val="center"/>
          </w:tcPr>
          <w:p>
            <w:pPr>
              <w:snapToGrid w:val="0"/>
              <w:spacing w:line="480" w:lineRule="exact"/>
              <w:jc w:val="center"/>
              <w:rPr>
                <w:rFonts w:hint="eastAsia" w:ascii="仿宋" w:hAnsi="仿宋" w:eastAsia="仿宋"/>
                <w:color w:val="auto"/>
                <w:sz w:val="28"/>
                <w:highlight w:val="yellow"/>
              </w:rPr>
            </w:pPr>
          </w:p>
        </w:tc>
        <w:tc>
          <w:tcPr>
            <w:tcW w:w="1700" w:type="dxa"/>
            <w:tcBorders>
              <w:top w:val="single" w:color="auto" w:sz="4" w:space="0"/>
              <w:bottom w:val="single" w:color="auto" w:sz="4" w:space="0"/>
            </w:tcBorders>
            <w:noWrap w:val="0"/>
            <w:vAlign w:val="center"/>
          </w:tcPr>
          <w:p>
            <w:pPr>
              <w:snapToGrid w:val="0"/>
              <w:spacing w:line="480" w:lineRule="exact"/>
              <w:jc w:val="center"/>
              <w:rPr>
                <w:rFonts w:hint="eastAsia" w:ascii="仿宋" w:hAnsi="仿宋" w:eastAsia="仿宋"/>
                <w:color w:val="auto"/>
                <w:sz w:val="28"/>
                <w:highlight w:val="yellow"/>
              </w:rPr>
            </w:pPr>
            <w:r>
              <w:rPr>
                <w:rFonts w:hint="eastAsia" w:ascii="仿宋_GB2312" w:hAnsi="仿宋_GB2312" w:eastAsia="仿宋_GB2312"/>
                <w:color w:val="auto"/>
                <w:kern w:val="0"/>
                <w:sz w:val="28"/>
                <w:highlight w:val="yellow"/>
              </w:rPr>
              <w:t>电流互感器</w:t>
            </w:r>
          </w:p>
        </w:tc>
        <w:tc>
          <w:tcPr>
            <w:tcW w:w="1797" w:type="dxa"/>
            <w:tcBorders>
              <w:top w:val="single" w:color="auto" w:sz="4" w:space="0"/>
              <w:bottom w:val="single" w:color="auto" w:sz="4" w:space="0"/>
            </w:tcBorders>
            <w:noWrap w:val="0"/>
            <w:vAlign w:val="top"/>
          </w:tcPr>
          <w:p>
            <w:pPr>
              <w:snapToGrid w:val="0"/>
              <w:spacing w:line="480" w:lineRule="exact"/>
              <w:jc w:val="center"/>
              <w:rPr>
                <w:rFonts w:hint="eastAsia" w:ascii="仿宋" w:hAnsi="仿宋" w:eastAsia="仿宋"/>
                <w:color w:val="auto"/>
                <w:sz w:val="28"/>
                <w:highlight w:val="yellow"/>
                <w:lang w:eastAsia="zh-CN"/>
              </w:rPr>
            </w:pPr>
            <w:r>
              <w:rPr>
                <w:rFonts w:hint="eastAsia" w:ascii="仿宋" w:hAnsi="仿宋" w:eastAsia="仿宋"/>
                <w:color w:val="auto"/>
                <w:sz w:val="28"/>
                <w:highlight w:val="yellow"/>
                <w:lang w:eastAsia="zh-CN"/>
              </w:rPr>
              <w:t>100/5</w:t>
            </w:r>
          </w:p>
        </w:tc>
        <w:tc>
          <w:tcPr>
            <w:tcW w:w="3568" w:type="dxa"/>
            <w:tcBorders>
              <w:top w:val="single" w:color="auto" w:sz="4" w:space="0"/>
              <w:bottom w:val="single" w:color="auto" w:sz="4" w:space="0"/>
            </w:tcBorders>
            <w:noWrap w:val="0"/>
            <w:vAlign w:val="top"/>
          </w:tcPr>
          <w:p>
            <w:pPr>
              <w:snapToGrid w:val="0"/>
              <w:spacing w:line="480" w:lineRule="exact"/>
              <w:jc w:val="center"/>
              <w:rPr>
                <w:rFonts w:hint="eastAsia" w:ascii="仿宋" w:hAnsi="仿宋" w:eastAsia="仿宋"/>
                <w:color w:val="auto"/>
                <w:sz w:val="28"/>
                <w:highlight w:val="yellow"/>
                <w:lang w:eastAsia="zh-CN"/>
              </w:rPr>
            </w:pPr>
            <w:r>
              <w:rPr>
                <w:rFonts w:hint="eastAsia" w:ascii="仿宋" w:hAnsi="仿宋" w:eastAsia="仿宋"/>
                <w:color w:val="auto"/>
                <w:sz w:val="28"/>
                <w:highlight w:val="yellow"/>
                <w:lang w:eastAsia="zh-CN"/>
              </w:rPr>
              <w:t>3只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43" w:type="dxa"/>
            <w:vMerge w:val="continue"/>
            <w:noWrap w:val="0"/>
            <w:vAlign w:val="top"/>
          </w:tcPr>
          <w:p>
            <w:pPr>
              <w:spacing w:line="480" w:lineRule="exact"/>
              <w:ind w:right="-786"/>
              <w:jc w:val="center"/>
              <w:rPr>
                <w:rFonts w:hint="eastAsia" w:ascii="仿宋_GB2312" w:eastAsia="仿宋_GB2312"/>
                <w:sz w:val="28"/>
              </w:rPr>
            </w:pPr>
          </w:p>
        </w:tc>
        <w:tc>
          <w:tcPr>
            <w:tcW w:w="1700" w:type="dxa"/>
            <w:tcBorders>
              <w:top w:val="single" w:color="auto" w:sz="4" w:space="0"/>
              <w:bottom w:val="single" w:color="auto" w:sz="4" w:space="0"/>
            </w:tcBorders>
            <w:noWrap w:val="0"/>
            <w:vAlign w:val="top"/>
          </w:tcPr>
          <w:p>
            <w:pPr>
              <w:spacing w:line="480" w:lineRule="exact"/>
              <w:ind w:right="-786"/>
              <w:jc w:val="center"/>
              <w:rPr>
                <w:rFonts w:hint="eastAsia" w:ascii="仿宋_GB2312" w:eastAsia="仿宋_GB2312"/>
                <w:sz w:val="28"/>
              </w:rPr>
            </w:pPr>
          </w:p>
        </w:tc>
        <w:tc>
          <w:tcPr>
            <w:tcW w:w="1797" w:type="dxa"/>
            <w:tcBorders>
              <w:top w:val="single" w:color="auto" w:sz="4" w:space="0"/>
              <w:bottom w:val="single" w:color="auto" w:sz="4" w:space="0"/>
            </w:tcBorders>
            <w:noWrap w:val="0"/>
            <w:vAlign w:val="top"/>
          </w:tcPr>
          <w:p>
            <w:pPr>
              <w:spacing w:line="480" w:lineRule="exact"/>
              <w:jc w:val="center"/>
              <w:rPr>
                <w:rFonts w:hint="eastAsia" w:ascii="仿宋_GB2312" w:eastAsia="仿宋_GB2312"/>
                <w:sz w:val="28"/>
              </w:rPr>
            </w:pPr>
          </w:p>
        </w:tc>
        <w:tc>
          <w:tcPr>
            <w:tcW w:w="3568" w:type="dxa"/>
            <w:tcBorders>
              <w:top w:val="single" w:color="auto" w:sz="4" w:space="0"/>
              <w:bottom w:val="single" w:color="auto" w:sz="4" w:space="0"/>
            </w:tcBorders>
            <w:noWrap w:val="0"/>
            <w:vAlign w:val="top"/>
          </w:tcPr>
          <w:p>
            <w:pPr>
              <w:spacing w:line="480" w:lineRule="exact"/>
              <w:jc w:val="center"/>
              <w:rPr>
                <w:rFonts w:hint="eastAsia" w:ascii="仿宋_GB2312" w:eastAsia="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43" w:type="dxa"/>
            <w:vMerge w:val="restart"/>
            <w:tcBorders>
              <w:top w:val="single" w:color="auto" w:sz="4" w:space="0"/>
            </w:tcBorders>
            <w:noWrap w:val="0"/>
            <w:vAlign w:val="top"/>
          </w:tcPr>
          <w:p>
            <w:pPr>
              <w:spacing w:line="480" w:lineRule="exact"/>
              <w:ind w:right="-786"/>
              <w:jc w:val="center"/>
              <w:rPr>
                <w:rFonts w:hint="eastAsia" w:ascii="仿宋_GB2312" w:eastAsia="仿宋_GB2312"/>
                <w:sz w:val="28"/>
              </w:rPr>
            </w:pPr>
          </w:p>
        </w:tc>
        <w:tc>
          <w:tcPr>
            <w:tcW w:w="1700" w:type="dxa"/>
            <w:tcBorders>
              <w:top w:val="single" w:color="auto" w:sz="4" w:space="0"/>
            </w:tcBorders>
            <w:noWrap w:val="0"/>
            <w:vAlign w:val="top"/>
          </w:tcPr>
          <w:p>
            <w:pPr>
              <w:spacing w:line="480" w:lineRule="exact"/>
              <w:ind w:right="-786"/>
              <w:jc w:val="center"/>
              <w:rPr>
                <w:rFonts w:hint="eastAsia" w:ascii="仿宋_GB2312" w:eastAsia="仿宋_GB2312"/>
                <w:sz w:val="28"/>
              </w:rPr>
            </w:pPr>
          </w:p>
        </w:tc>
        <w:tc>
          <w:tcPr>
            <w:tcW w:w="1797" w:type="dxa"/>
            <w:tcBorders>
              <w:top w:val="single" w:color="auto" w:sz="4" w:space="0"/>
            </w:tcBorders>
            <w:noWrap w:val="0"/>
            <w:vAlign w:val="top"/>
          </w:tcPr>
          <w:p>
            <w:pPr>
              <w:spacing w:line="480" w:lineRule="exact"/>
              <w:jc w:val="center"/>
              <w:rPr>
                <w:rFonts w:hint="eastAsia" w:ascii="仿宋_GB2312" w:eastAsia="仿宋_GB2312"/>
                <w:sz w:val="28"/>
              </w:rPr>
            </w:pPr>
          </w:p>
        </w:tc>
        <w:tc>
          <w:tcPr>
            <w:tcW w:w="3568" w:type="dxa"/>
            <w:tcBorders>
              <w:top w:val="single" w:color="auto" w:sz="4" w:space="0"/>
            </w:tcBorders>
            <w:noWrap w:val="0"/>
            <w:vAlign w:val="top"/>
          </w:tcPr>
          <w:p>
            <w:pPr>
              <w:spacing w:line="480" w:lineRule="exact"/>
              <w:jc w:val="center"/>
              <w:rPr>
                <w:rFonts w:hint="eastAsia" w:ascii="仿宋_GB2312" w:eastAsia="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43" w:type="dxa"/>
            <w:vMerge w:val="continue"/>
            <w:noWrap w:val="0"/>
            <w:vAlign w:val="top"/>
          </w:tcPr>
          <w:p>
            <w:pPr>
              <w:spacing w:line="480" w:lineRule="exact"/>
              <w:jc w:val="center"/>
              <w:rPr>
                <w:rFonts w:hint="eastAsia" w:ascii="仿宋_GB2312" w:eastAsia="仿宋_GB2312"/>
                <w:sz w:val="28"/>
              </w:rPr>
            </w:pPr>
          </w:p>
        </w:tc>
        <w:tc>
          <w:tcPr>
            <w:tcW w:w="1700" w:type="dxa"/>
            <w:noWrap w:val="0"/>
            <w:vAlign w:val="top"/>
          </w:tcPr>
          <w:p>
            <w:pPr>
              <w:spacing w:line="480" w:lineRule="exact"/>
              <w:jc w:val="center"/>
              <w:rPr>
                <w:rFonts w:hint="eastAsia" w:ascii="仿宋_GB2312" w:eastAsia="仿宋_GB2312"/>
                <w:sz w:val="28"/>
              </w:rPr>
            </w:pPr>
          </w:p>
        </w:tc>
        <w:tc>
          <w:tcPr>
            <w:tcW w:w="1797" w:type="dxa"/>
            <w:noWrap w:val="0"/>
            <w:vAlign w:val="top"/>
          </w:tcPr>
          <w:p>
            <w:pPr>
              <w:spacing w:line="480" w:lineRule="exact"/>
              <w:jc w:val="center"/>
              <w:rPr>
                <w:rFonts w:hint="eastAsia" w:ascii="仿宋_GB2312" w:eastAsia="仿宋_GB2312"/>
                <w:sz w:val="28"/>
              </w:rPr>
            </w:pPr>
          </w:p>
        </w:tc>
        <w:tc>
          <w:tcPr>
            <w:tcW w:w="3568" w:type="dxa"/>
            <w:noWrap w:val="0"/>
            <w:vAlign w:val="top"/>
          </w:tcPr>
          <w:p>
            <w:pPr>
              <w:spacing w:line="480" w:lineRule="exact"/>
              <w:jc w:val="center"/>
              <w:rPr>
                <w:rFonts w:hint="eastAsia" w:ascii="仿宋_GB2312" w:eastAsia="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43" w:type="dxa"/>
            <w:vMerge w:val="continue"/>
            <w:noWrap w:val="0"/>
            <w:vAlign w:val="top"/>
          </w:tcPr>
          <w:p>
            <w:pPr>
              <w:spacing w:line="480" w:lineRule="exact"/>
              <w:jc w:val="center"/>
              <w:rPr>
                <w:rFonts w:hint="eastAsia" w:ascii="仿宋_GB2312" w:eastAsia="仿宋_GB2312"/>
                <w:sz w:val="28"/>
              </w:rPr>
            </w:pPr>
          </w:p>
        </w:tc>
        <w:tc>
          <w:tcPr>
            <w:tcW w:w="1700" w:type="dxa"/>
            <w:noWrap w:val="0"/>
            <w:vAlign w:val="top"/>
          </w:tcPr>
          <w:p>
            <w:pPr>
              <w:spacing w:line="480" w:lineRule="exact"/>
              <w:jc w:val="center"/>
              <w:rPr>
                <w:rFonts w:hint="eastAsia" w:ascii="仿宋_GB2312" w:eastAsia="仿宋_GB2312"/>
                <w:sz w:val="28"/>
              </w:rPr>
            </w:pPr>
          </w:p>
        </w:tc>
        <w:tc>
          <w:tcPr>
            <w:tcW w:w="1797" w:type="dxa"/>
            <w:noWrap w:val="0"/>
            <w:vAlign w:val="top"/>
          </w:tcPr>
          <w:p>
            <w:pPr>
              <w:spacing w:line="480" w:lineRule="exact"/>
              <w:jc w:val="center"/>
              <w:rPr>
                <w:rFonts w:hint="eastAsia" w:ascii="仿宋_GB2312" w:eastAsia="仿宋_GB2312"/>
                <w:sz w:val="28"/>
              </w:rPr>
            </w:pPr>
          </w:p>
        </w:tc>
        <w:tc>
          <w:tcPr>
            <w:tcW w:w="3568" w:type="dxa"/>
            <w:noWrap w:val="0"/>
            <w:vAlign w:val="top"/>
          </w:tcPr>
          <w:p>
            <w:pPr>
              <w:spacing w:line="480" w:lineRule="exact"/>
              <w:jc w:val="center"/>
              <w:rPr>
                <w:rFonts w:hint="eastAsia" w:ascii="仿宋_GB2312" w:eastAsia="仿宋_GB2312"/>
                <w:sz w:val="28"/>
              </w:rPr>
            </w:pPr>
          </w:p>
        </w:tc>
      </w:tr>
    </w:tbl>
    <w:p>
      <w:pPr>
        <w:snapToGrid w:val="0"/>
        <w:spacing w:line="500" w:lineRule="exact"/>
        <w:rPr>
          <w:rFonts w:hint="eastAsia" w:ascii="仿宋_GB2312" w:hAnsi="仿宋_GB2312" w:eastAsia="仿宋_GB2312"/>
          <w:kern w:val="0"/>
          <w:sz w:val="28"/>
          <w:highlight w:val="yellow"/>
        </w:rPr>
      </w:pPr>
      <w:bookmarkStart w:id="11" w:name="_Toc252599130"/>
      <w:bookmarkStart w:id="12" w:name="_Toc252795109"/>
      <w:bookmarkStart w:id="13" w:name="_Toc468783706"/>
      <w:r>
        <w:rPr>
          <w:rFonts w:hint="eastAsia" w:ascii="仿宋_GB2312" w:hAnsi="仿宋_GB2312" w:eastAsia="仿宋_GB2312"/>
          <w:kern w:val="0"/>
          <w:sz w:val="28"/>
          <w:highlight w:val="yellow"/>
          <w:shd w:val="clear" w:color="auto" w:fill="FFFF00"/>
        </w:rPr>
        <w:t>按实际填写</w:t>
      </w:r>
    </w:p>
    <w:p>
      <w:pPr>
        <w:snapToGrid w:val="0"/>
        <w:spacing w:line="500" w:lineRule="exact"/>
        <w:rPr>
          <w:rFonts w:hint="eastAsia" w:ascii="仿宋_GB2312" w:hAnsi="仿宋_GB2312" w:eastAsia="仿宋_GB2312"/>
          <w:kern w:val="0"/>
          <w:sz w:val="28"/>
          <w:highlight w:val="yellow"/>
        </w:rPr>
      </w:pPr>
      <w:r>
        <w:rPr>
          <w:rFonts w:hint="eastAsia" w:ascii="仿宋_GB2312" w:hAnsi="仿宋_GB2312" w:eastAsia="仿宋_GB2312"/>
          <w:kern w:val="0"/>
          <w:sz w:val="28"/>
          <w:highlight w:val="yellow"/>
          <w:shd w:val="clear" w:color="auto" w:fill="FFFF00"/>
        </w:rPr>
        <w:t>1、计量点栏按本条第一款计量点编号填写。</w:t>
      </w:r>
    </w:p>
    <w:p>
      <w:pPr>
        <w:snapToGrid w:val="0"/>
        <w:spacing w:line="500" w:lineRule="exact"/>
        <w:rPr>
          <w:rFonts w:hint="eastAsia" w:ascii="仿宋_GB2312" w:hAnsi="仿宋_GB2312" w:eastAsia="仿宋_GB2312"/>
          <w:kern w:val="0"/>
          <w:sz w:val="28"/>
          <w:highlight w:val="yellow"/>
        </w:rPr>
      </w:pPr>
      <w:r>
        <w:rPr>
          <w:rFonts w:hint="eastAsia" w:ascii="仿宋_GB2312" w:hAnsi="仿宋_GB2312" w:eastAsia="仿宋_GB2312"/>
          <w:kern w:val="0"/>
          <w:sz w:val="28"/>
          <w:highlight w:val="yellow"/>
          <w:shd w:val="clear" w:color="auto" w:fill="FFFF00"/>
        </w:rPr>
        <w:t>2、计量设备一般应包括电能表、电流互感器等。</w:t>
      </w:r>
    </w:p>
    <w:p>
      <w:pPr>
        <w:snapToGrid w:val="0"/>
        <w:spacing w:line="500" w:lineRule="exact"/>
        <w:rPr>
          <w:rFonts w:hint="eastAsia" w:ascii="仿宋_GB2312" w:hAnsi="仿宋_GB2312" w:eastAsia="仿宋_GB2312"/>
          <w:kern w:val="0"/>
          <w:sz w:val="28"/>
          <w:highlight w:val="yellow"/>
        </w:rPr>
      </w:pPr>
      <w:r>
        <w:rPr>
          <w:rFonts w:hint="eastAsia" w:ascii="仿宋_GB2312" w:hAnsi="仿宋_GB2312" w:eastAsia="仿宋_GB2312"/>
          <w:kern w:val="0"/>
          <w:sz w:val="28"/>
          <w:highlight w:val="yellow"/>
          <w:shd w:val="clear" w:color="auto" w:fill="FFFF00"/>
        </w:rPr>
        <w:t>3、计算倍率指按电流互感器倍率确定的电费计算倍率</w:t>
      </w:r>
      <w:r>
        <w:rPr>
          <w:rFonts w:hint="eastAsia" w:ascii="仿宋_GB2312" w:hAnsi="仿宋_GB2312" w:eastAsia="仿宋_GB2312"/>
          <w:kern w:val="0"/>
          <w:sz w:val="28"/>
          <w:highlight w:val="yellow"/>
        </w:rPr>
        <w:t>。</w:t>
      </w:r>
    </w:p>
    <w:p>
      <w:pPr>
        <w:pStyle w:val="2"/>
        <w:spacing w:line="480" w:lineRule="exact"/>
        <w:ind w:left="0" w:leftChars="0" w:firstLine="0" w:firstLineChars="0"/>
        <w:rPr>
          <w:rFonts w:hint="eastAsia" w:ascii="黑体" w:hAnsi="方正仿宋_GBK" w:eastAsia="黑体"/>
          <w:b w:val="0"/>
          <w:kern w:val="2"/>
          <w:sz w:val="28"/>
        </w:rPr>
      </w:pPr>
      <w:r>
        <w:rPr>
          <w:rFonts w:hint="eastAsia" w:ascii="仿宋_GB2312" w:hAnsi="仿宋_GB2312" w:eastAsia="仿宋_GB2312"/>
          <w:b w:val="0"/>
          <w:kern w:val="0"/>
          <w:sz w:val="28"/>
          <w:highlight w:val="yellow"/>
          <w:shd w:val="clear" w:color="auto" w:fill="FFFF00"/>
        </w:rPr>
        <w:t>4、对有主、副表和总、分表的应在备注栏明确其关系</w:t>
      </w:r>
    </w:p>
    <w:p>
      <w:pPr>
        <w:pStyle w:val="2"/>
        <w:spacing w:line="480" w:lineRule="exact"/>
        <w:ind w:firstLine="560"/>
        <w:rPr>
          <w:rFonts w:hint="eastAsia" w:ascii="黑体" w:hAnsi="方正仿宋_GBK" w:eastAsia="黑体"/>
          <w:b w:val="0"/>
          <w:sz w:val="28"/>
        </w:rPr>
      </w:pPr>
      <w:r>
        <w:rPr>
          <w:rFonts w:hint="eastAsia" w:ascii="黑体" w:hAnsi="方正仿宋_GBK" w:eastAsia="黑体"/>
          <w:b w:val="0"/>
          <w:kern w:val="2"/>
          <w:sz w:val="28"/>
        </w:rPr>
        <w:t>5.电价及电费结算</w:t>
      </w:r>
      <w:bookmarkEnd w:id="11"/>
      <w:bookmarkEnd w:id="12"/>
      <w:bookmarkEnd w:id="13"/>
    </w:p>
    <w:p>
      <w:pPr>
        <w:snapToGrid w:val="0"/>
        <w:spacing w:line="480" w:lineRule="exact"/>
        <w:ind w:firstLine="560" w:firstLineChars="200"/>
        <w:rPr>
          <w:rFonts w:hint="eastAsia" w:ascii="仿宋" w:hAnsi="仿宋" w:eastAsia="仿宋"/>
          <w:sz w:val="28"/>
        </w:rPr>
      </w:pPr>
      <w:bookmarkStart w:id="14" w:name="_Toc251681029"/>
      <w:bookmarkStart w:id="15" w:name="_Toc251681604"/>
      <w:r>
        <w:rPr>
          <w:rFonts w:hint="eastAsia" w:ascii="仿宋" w:hAnsi="仿宋" w:eastAsia="仿宋"/>
          <w:sz w:val="28"/>
        </w:rPr>
        <w:t>5.1电价按照政府主管部门批准的电价执行，根据调价政策规定进行调整。</w:t>
      </w:r>
      <w:bookmarkEnd w:id="14"/>
      <w:bookmarkEnd w:id="15"/>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根据国家《功率因数调整电费办法》的规定，</w:t>
      </w:r>
      <w:r>
        <w:rPr>
          <w:rFonts w:hint="eastAsia" w:ascii="仿宋" w:hAnsi="仿宋" w:eastAsia="仿宋"/>
          <w:sz w:val="28"/>
        </w:rPr>
        <w:t>功率因数调整电费的考核标准为</w:t>
      </w:r>
      <w:r>
        <w:rPr>
          <w:rFonts w:hint="eastAsia" w:ascii="仿宋" w:hAnsi="仿宋" w:eastAsia="仿宋"/>
          <w:sz w:val="28"/>
          <w:u w:val="single"/>
        </w:rPr>
        <w:t xml:space="preserve">           </w:t>
      </w:r>
      <w:r>
        <w:rPr>
          <w:rFonts w:hint="eastAsia" w:ascii="仿宋" w:hAnsi="仿宋" w:eastAsia="仿宋"/>
          <w:sz w:val="28"/>
        </w:rPr>
        <w:t>，相关电费计算按规定执行。</w:t>
      </w:r>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sz w:val="28"/>
          <w:highlight w:val="yellow"/>
          <w:shd w:val="clear" w:color="auto" w:fill="FFFF00"/>
          <w:lang w:eastAsia="zh-CN"/>
        </w:rPr>
        <w:t>不考核填“</w:t>
      </w:r>
      <w:r>
        <w:rPr>
          <w:rFonts w:hint="eastAsia" w:ascii="仿宋_GB2312" w:hAnsi="仿宋_GB2312" w:eastAsia="仿宋_GB2312"/>
          <w:sz w:val="28"/>
          <w:highlight w:val="yellow"/>
          <w:shd w:val="clear" w:color="auto" w:fill="FFFF00"/>
          <w:lang w:val="en-US" w:eastAsia="zh-CN"/>
        </w:rPr>
        <w:t>/”，</w:t>
      </w:r>
      <w:r>
        <w:rPr>
          <w:rFonts w:hint="eastAsia" w:ascii="仿宋_GB2312" w:hAnsi="仿宋_GB2312" w:eastAsia="仿宋_GB2312"/>
          <w:sz w:val="28"/>
          <w:highlight w:val="yellow"/>
          <w:shd w:val="clear" w:color="auto" w:fill="FFFF00"/>
        </w:rPr>
        <w:t>功率因数调整电费的考核标准应与营销系统计费方案保持一致</w:t>
      </w:r>
      <w:r>
        <w:rPr>
          <w:rFonts w:hint="eastAsia" w:ascii="仿宋_GB2312" w:hAnsi="仿宋_GB2312" w:eastAsia="仿宋_GB2312"/>
          <w:sz w:val="28"/>
          <w:highlight w:val="yellow"/>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5.2抄表周期为</w:t>
      </w:r>
      <w:r>
        <w:rPr>
          <w:rFonts w:hint="eastAsia" w:ascii="仿宋" w:hAnsi="仿宋" w:eastAsia="仿宋"/>
          <w:sz w:val="28"/>
          <w:u w:val="single"/>
        </w:rPr>
        <w:t xml:space="preserve">         </w:t>
      </w:r>
      <w:r>
        <w:rPr>
          <w:rFonts w:hint="eastAsia" w:ascii="仿宋_GB2312" w:hAnsi="仿宋_GB2312" w:eastAsia="仿宋_GB2312"/>
          <w:sz w:val="28"/>
          <w:highlight w:val="yellow"/>
          <w:shd w:val="clear" w:color="auto" w:fill="FFFF00"/>
        </w:rPr>
        <w:t>一般填写“</w:t>
      </w:r>
      <w:r>
        <w:rPr>
          <w:rFonts w:hint="eastAsia" w:ascii="仿宋_GB2312" w:hAnsi="仿宋_GB2312" w:eastAsia="仿宋_GB2312"/>
          <w:sz w:val="28"/>
          <w:highlight w:val="yellow"/>
          <w:shd w:val="clear" w:color="auto" w:fill="FFFF00"/>
          <w:lang w:eastAsia="zh-CN"/>
        </w:rPr>
        <w:t>每月一次"</w:t>
      </w:r>
      <w:r>
        <w:rPr>
          <w:rFonts w:hint="eastAsia" w:ascii="仿宋" w:hAnsi="仿宋" w:eastAsia="仿宋"/>
          <w:sz w:val="28"/>
        </w:rPr>
        <w:t>，抄表例日为</w:t>
      </w:r>
      <w:r>
        <w:rPr>
          <w:rFonts w:hint="eastAsia" w:ascii="仿宋" w:hAnsi="仿宋" w:eastAsia="仿宋"/>
          <w:sz w:val="28"/>
          <w:u w:val="single"/>
        </w:rPr>
        <w:t xml:space="preserve">         </w:t>
      </w:r>
      <w:r>
        <w:rPr>
          <w:rFonts w:hint="eastAsia" w:ascii="仿宋_GB2312" w:hAnsi="仿宋_GB2312" w:eastAsia="仿宋_GB2312"/>
          <w:sz w:val="28"/>
          <w:highlight w:val="yellow"/>
          <w:shd w:val="clear" w:color="auto" w:fill="FFFF00"/>
        </w:rPr>
        <w:t>按实际抄表日填写</w:t>
      </w:r>
      <w:r>
        <w:rPr>
          <w:rFonts w:hint="eastAsia" w:ascii="仿宋" w:hAnsi="仿宋" w:eastAsia="仿宋"/>
          <w:sz w:val="28"/>
        </w:rPr>
        <w:t>。供电人可以单方调整抄表周期和抄表例日，但须通知用电人。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5.3抄表方式：采用</w:t>
      </w:r>
      <w:r>
        <w:rPr>
          <w:rFonts w:hint="eastAsia" w:ascii="仿宋" w:hAnsi="仿宋" w:eastAsia="仿宋"/>
          <w:sz w:val="28"/>
          <w:u w:val="single"/>
        </w:rPr>
        <w:t xml:space="preserve">              </w:t>
      </w:r>
      <w:r>
        <w:rPr>
          <w:rFonts w:hint="eastAsia" w:ascii="仿宋" w:hAnsi="仿宋" w:eastAsia="仿宋"/>
          <w:sz w:val="28"/>
          <w:u w:val="single"/>
          <w:lang w:eastAsia="zh-CN"/>
        </w:rPr>
        <w:t xml:space="preserve"> </w:t>
      </w:r>
      <w:r>
        <w:rPr>
          <w:rFonts w:hint="eastAsia" w:ascii="仿宋" w:hAnsi="仿宋" w:eastAsia="仿宋"/>
          <w:sz w:val="28"/>
          <w:u w:val="single"/>
        </w:rPr>
        <w:t xml:space="preserve"> </w:t>
      </w:r>
      <w:r>
        <w:rPr>
          <w:rFonts w:hint="eastAsia" w:ascii="仿宋" w:hAnsi="仿宋" w:eastAsia="仿宋"/>
          <w:sz w:val="28"/>
        </w:rPr>
        <w:t>抄录方式。</w:t>
      </w:r>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sz w:val="28"/>
          <w:highlight w:val="yellow"/>
          <w:shd w:val="clear" w:color="auto" w:fill="FFFF00"/>
        </w:rPr>
        <w:t>填写说明：“人工”</w:t>
      </w:r>
      <w:r>
        <w:rPr>
          <w:rFonts w:hint="eastAsia" w:ascii="仿宋_GB2312" w:hAnsi="仿宋_GB2312" w:eastAsia="仿宋_GB2312"/>
          <w:sz w:val="28"/>
          <w:highlight w:val="yellow"/>
          <w:shd w:val="clear" w:color="auto" w:fill="FFFF00"/>
          <w:lang w:eastAsia="zh-CN"/>
        </w:rPr>
        <w:t>、</w:t>
      </w:r>
      <w:r>
        <w:rPr>
          <w:rFonts w:hint="eastAsia" w:ascii="仿宋_GB2312" w:hAnsi="仿宋_GB2312" w:eastAsia="仿宋_GB2312"/>
          <w:sz w:val="28"/>
          <w:highlight w:val="yellow"/>
          <w:shd w:val="clear" w:color="auto" w:fill="FFFF00"/>
        </w:rPr>
        <w:t>“用电信息采集装置自动”</w:t>
      </w:r>
      <w:r>
        <w:rPr>
          <w:rFonts w:hint="eastAsia" w:ascii="仿宋_GB2312" w:hAnsi="仿宋_GB2312" w:eastAsia="仿宋_GB2312"/>
          <w:sz w:val="28"/>
          <w:highlight w:val="yellow"/>
          <w:shd w:val="clear" w:color="auto" w:fill="FFFF00"/>
          <w:lang w:eastAsia="zh-CN"/>
        </w:rPr>
        <w:t>二选一</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采用用电信息采集装置自动抄表的，其自动抄录的数据作为电度电费结算依据，当装置故障时，依人工抄录数据为准。</w:t>
      </w:r>
    </w:p>
    <w:p>
      <w:pPr>
        <w:adjustRightInd w:val="0"/>
        <w:snapToGrid w:val="0"/>
        <w:spacing w:line="480" w:lineRule="exact"/>
        <w:ind w:firstLine="560" w:firstLineChars="200"/>
        <w:jc w:val="left"/>
        <w:rPr>
          <w:rFonts w:hint="eastAsia" w:ascii="仿宋" w:hAnsi="仿宋" w:eastAsia="仿宋"/>
          <w:sz w:val="28"/>
        </w:rPr>
      </w:pPr>
      <w:bookmarkStart w:id="16" w:name="_Toc251681605"/>
      <w:bookmarkStart w:id="17" w:name="_Toc251681030"/>
      <w:r>
        <w:rPr>
          <w:rFonts w:hint="eastAsia" w:ascii="仿宋" w:hAnsi="仿宋" w:eastAsia="仿宋"/>
          <w:sz w:val="28"/>
        </w:rPr>
        <w:t>5.4</w:t>
      </w:r>
      <w:bookmarkEnd w:id="16"/>
      <w:bookmarkEnd w:id="17"/>
      <w:r>
        <w:rPr>
          <w:rFonts w:hint="eastAsia" w:ascii="仿宋" w:hAnsi="仿宋" w:eastAsia="仿宋"/>
          <w:sz w:val="28"/>
        </w:rPr>
        <w:t>电费按抄表周期结算，支付方式为</w:t>
      </w:r>
      <w:r>
        <w:rPr>
          <w:rFonts w:hint="eastAsia" w:ascii="仿宋" w:hAnsi="仿宋" w:eastAsia="仿宋"/>
          <w:sz w:val="28"/>
          <w:u w:val="single"/>
        </w:rPr>
        <w:t xml:space="preserve">                     </w:t>
      </w:r>
      <w:r>
        <w:rPr>
          <w:rFonts w:hint="eastAsia" w:ascii="仿宋" w:hAnsi="仿宋" w:eastAsia="仿宋"/>
          <w:sz w:val="28"/>
        </w:rPr>
        <w:t>，</w:t>
      </w:r>
      <w:r>
        <w:rPr>
          <w:rFonts w:hint="eastAsia" w:ascii="仿宋_GB2312" w:hAnsi="仿宋_GB2312" w:eastAsia="仿宋_GB2312"/>
          <w:sz w:val="28"/>
          <w:highlight w:val="yellow"/>
          <w:shd w:val="clear" w:color="auto" w:fill="FFFF00"/>
        </w:rPr>
        <w:t>比如：电力机构柜台收费、电力机构手工托收、金融机构代扣，其他如实填写</w:t>
      </w:r>
      <w:r>
        <w:rPr>
          <w:rFonts w:hint="eastAsia" w:ascii="仿宋" w:hAnsi="仿宋" w:eastAsia="仿宋"/>
          <w:sz w:val="28"/>
        </w:rPr>
        <w:t>用电人应在当月</w:t>
      </w:r>
      <w:r>
        <w:rPr>
          <w:rFonts w:hint="eastAsia" w:ascii="仿宋" w:hAnsi="仿宋" w:eastAsia="仿宋"/>
          <w:sz w:val="28"/>
          <w:u w:val="single"/>
        </w:rPr>
        <w:t xml:space="preserve">  </w:t>
      </w:r>
      <w:r>
        <w:rPr>
          <w:rFonts w:hint="eastAsia" w:ascii="仿宋" w:hAnsi="仿宋" w:eastAsia="仿宋"/>
          <w:sz w:val="28"/>
          <w:u w:val="single"/>
          <w:lang w:val="en-US" w:eastAsia="zh-CN"/>
        </w:rPr>
        <w:t>25</w:t>
      </w:r>
      <w:r>
        <w:rPr>
          <w:rFonts w:hint="eastAsia" w:ascii="仿宋" w:hAnsi="仿宋" w:eastAsia="仿宋"/>
          <w:sz w:val="28"/>
          <w:u w:val="single"/>
        </w:rPr>
        <w:t xml:space="preserve">  </w:t>
      </w:r>
      <w:r>
        <w:rPr>
          <w:rFonts w:hint="eastAsia" w:ascii="仿宋" w:hAnsi="仿宋" w:eastAsia="仿宋"/>
          <w:sz w:val="28"/>
        </w:rPr>
        <w:t>日前结清全部电费。双方可另行订立电费结算协议。</w:t>
      </w:r>
    </w:p>
    <w:p>
      <w:pPr>
        <w:adjustRightInd w:val="0"/>
        <w:ind w:firstLine="560" w:firstLineChars="200"/>
        <w:jc w:val="left"/>
        <w:rPr>
          <w:rFonts w:hint="eastAsia" w:ascii="仿宋" w:hAnsi="仿宋" w:eastAsia="仿宋"/>
          <w:sz w:val="28"/>
        </w:rPr>
      </w:pPr>
      <w:r>
        <w:rPr>
          <w:rFonts w:hint="eastAsia" w:ascii="仿宋" w:hAnsi="仿宋" w:eastAsia="仿宋"/>
          <w:sz w:val="28"/>
        </w:rPr>
        <w:t>5.5用电人将用电地址内的房屋、场地出租、出借或以其他方式给他人使用的，用电人仍需承担交纳电费的义务。</w:t>
      </w:r>
    </w:p>
    <w:p>
      <w:pPr>
        <w:snapToGrid w:val="0"/>
        <w:spacing w:line="480" w:lineRule="exact"/>
        <w:ind w:firstLine="560" w:firstLineChars="200"/>
        <w:rPr>
          <w:rFonts w:hint="eastAsia" w:ascii="仿宋" w:hAnsi="仿宋" w:eastAsia="仿宋"/>
          <w:sz w:val="28"/>
        </w:rPr>
      </w:pPr>
      <w:bookmarkStart w:id="18" w:name="_Toc251681034"/>
      <w:bookmarkStart w:id="19" w:name="_Toc251681609"/>
      <w:r>
        <w:rPr>
          <w:rFonts w:hint="eastAsia" w:ascii="仿宋" w:hAnsi="仿宋" w:eastAsia="仿宋"/>
          <w:sz w:val="28"/>
        </w:rPr>
        <w:t>5.6若遇电费争议，用电人应先按</w:t>
      </w:r>
      <w:r>
        <w:rPr>
          <w:rFonts w:hint="eastAsia" w:ascii="仿宋" w:hAnsi="仿宋" w:eastAsia="仿宋"/>
          <w:color w:val="000000"/>
          <w:sz w:val="28"/>
        </w:rPr>
        <w:t>结算</w:t>
      </w:r>
      <w:r>
        <w:rPr>
          <w:rFonts w:hint="eastAsia" w:ascii="仿宋" w:hAnsi="仿宋" w:eastAsia="仿宋"/>
          <w:sz w:val="28"/>
        </w:rPr>
        <w:t>电费金额按时足额交付电费，待争议解决后，双方据实退、补。</w:t>
      </w:r>
      <w:bookmarkEnd w:id="18"/>
      <w:bookmarkEnd w:id="19"/>
    </w:p>
    <w:p>
      <w:pPr>
        <w:pStyle w:val="2"/>
        <w:spacing w:line="480" w:lineRule="exact"/>
        <w:ind w:firstLine="560"/>
        <w:rPr>
          <w:rFonts w:hint="eastAsia" w:ascii="黑体" w:hAnsi="方正仿宋_GBK" w:eastAsia="黑体"/>
          <w:b w:val="0"/>
          <w:kern w:val="2"/>
          <w:sz w:val="28"/>
        </w:rPr>
      </w:pPr>
      <w:bookmarkStart w:id="20" w:name="_Toc468783707"/>
      <w:bookmarkStart w:id="21" w:name="_Toc252599133"/>
      <w:bookmarkStart w:id="22" w:name="_Toc251681614"/>
      <w:bookmarkStart w:id="23" w:name="_Toc251681039"/>
      <w:r>
        <w:rPr>
          <w:rFonts w:hint="eastAsia" w:ascii="黑体" w:hAnsi="方正仿宋_GBK" w:eastAsia="黑体"/>
          <w:b w:val="0"/>
          <w:kern w:val="2"/>
          <w:sz w:val="28"/>
        </w:rPr>
        <w:t>6.计量失准及异议处理规则</w:t>
      </w:r>
      <w:bookmarkEnd w:id="20"/>
    </w:p>
    <w:p>
      <w:pPr>
        <w:snapToGrid w:val="0"/>
        <w:spacing w:line="480" w:lineRule="exact"/>
        <w:ind w:firstLine="560" w:firstLineChars="200"/>
        <w:rPr>
          <w:rFonts w:hint="eastAsia" w:ascii="仿宋" w:hAnsi="仿宋" w:eastAsia="仿宋"/>
          <w:color w:val="000000"/>
          <w:sz w:val="28"/>
        </w:rPr>
      </w:pPr>
      <w:bookmarkStart w:id="24" w:name="_Toc251681615"/>
      <w:bookmarkStart w:id="25" w:name="_Toc251681040"/>
      <w:r>
        <w:rPr>
          <w:rFonts w:hint="eastAsia" w:ascii="仿宋" w:hAnsi="仿宋" w:eastAsia="仿宋"/>
          <w:sz w:val="28"/>
        </w:rPr>
        <w:t>6.1 一方认为用电计量装置失准，有权提出校验请求，对方不得拒绝。校验应由有资质的计量检定机构</w:t>
      </w:r>
      <w:r>
        <w:rPr>
          <w:rFonts w:hint="eastAsia" w:ascii="仿宋" w:hAnsi="仿宋" w:eastAsia="仿宋"/>
          <w:color w:val="000000"/>
          <w:sz w:val="28"/>
        </w:rPr>
        <w:t>实施</w:t>
      </w:r>
      <w:r>
        <w:rPr>
          <w:rFonts w:hint="eastAsia" w:ascii="仿宋" w:hAnsi="仿宋" w:eastAsia="仿宋"/>
          <w:sz w:val="28"/>
        </w:rPr>
        <w:t>。如校验结论为合格，检测费用由提出请求方承担；如不合格，</w:t>
      </w:r>
      <w:r>
        <w:rPr>
          <w:rFonts w:hint="eastAsia" w:ascii="仿宋" w:hAnsi="仿宋" w:eastAsia="仿宋"/>
          <w:color w:val="000000"/>
          <w:sz w:val="28"/>
        </w:rPr>
        <w:t>由表计提供方承担，但能证明因对方使用、管理不善的除外。</w:t>
      </w:r>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用电人在申请验表期间，其电费仍应按期交纳，验表结果确认后，再行退、补电费。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6.2 计量失准时，计费差额电量按下列方式确定：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（1）互感器或电能表误差超出允许范围时，以“0”误差为基准，按验证后的误差值确定计费差额电量。上述超差时间从上次校验或换装后投运之日至误差更正之日的二分之一时间计算；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（2）其他非人为原因致使计量记录不准时，以用电人上年度或正常月份用电量的平均值为基准，确定计费差额电量，计算退、补电量的时间按导致失准时间至误差更正之日的差值确定。</w:t>
      </w:r>
    </w:p>
    <w:p>
      <w:pPr>
        <w:pStyle w:val="27"/>
        <w:spacing w:line="480" w:lineRule="exact"/>
        <w:ind w:firstLine="560"/>
        <w:rPr>
          <w:rFonts w:hint="eastAsia" w:ascii="仿宋" w:hAnsi="仿宋" w:eastAsia="仿宋"/>
          <w:sz w:val="28"/>
        </w:rPr>
      </w:pPr>
      <w:r>
        <w:rPr>
          <w:rFonts w:hint="eastAsia" w:ascii="仿宋" w:hAnsi="仿宋" w:eastAsia="仿宋"/>
          <w:sz w:val="28"/>
        </w:rPr>
        <w:t>发生以上情形，退、补电量未确定之前，用电人先按抄见电量如期交纳电费，误差确定后，再行退补。</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6.3 以下原因导致的电能计量或计算出现差错时，计费差额电量按下列方式确定：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（1）计费计量装置接线错误的，以其实际记录的电量为基数，按正确与错误接线的</w:t>
      </w:r>
      <w:r>
        <w:rPr>
          <w:rFonts w:hint="eastAsia" w:ascii="仿宋" w:hAnsi="仿宋" w:eastAsia="仿宋"/>
          <w:color w:val="000000"/>
          <w:sz w:val="28"/>
        </w:rPr>
        <w:t>差额率</w:t>
      </w:r>
      <w:r>
        <w:rPr>
          <w:rFonts w:hint="eastAsia" w:ascii="仿宋" w:hAnsi="仿宋" w:eastAsia="仿宋"/>
          <w:sz w:val="28"/>
        </w:rPr>
        <w:t>退、补电量，计算退、补电量的时间从上次校验或换装投运之日至接线错误更正之日；</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（2）计算电量的计费倍率与实际倍率不符的，以实际倍率为基准，按正确与错误倍率的差值确定计费差额电量，计算退、补电量的时间以</w:t>
      </w:r>
      <w:r>
        <w:rPr>
          <w:rFonts w:hint="eastAsia" w:ascii="仿宋" w:hAnsi="仿宋" w:eastAsia="仿宋"/>
          <w:color w:val="000000"/>
          <w:sz w:val="28"/>
        </w:rPr>
        <w:t>发生时间</w:t>
      </w:r>
      <w:r>
        <w:rPr>
          <w:rFonts w:hint="eastAsia" w:ascii="仿宋" w:hAnsi="仿宋" w:eastAsia="仿宋"/>
          <w:sz w:val="28"/>
        </w:rPr>
        <w:t>为准确定。</w:t>
      </w:r>
    </w:p>
    <w:p>
      <w:pPr>
        <w:pStyle w:val="27"/>
        <w:spacing w:line="480" w:lineRule="exact"/>
        <w:ind w:firstLine="560"/>
        <w:rPr>
          <w:rFonts w:hint="eastAsia" w:ascii="仿宋" w:hAnsi="仿宋" w:eastAsia="仿宋"/>
          <w:sz w:val="28"/>
        </w:rPr>
      </w:pPr>
      <w:r>
        <w:rPr>
          <w:rFonts w:hint="eastAsia" w:ascii="仿宋" w:hAnsi="仿宋" w:eastAsia="仿宋"/>
          <w:sz w:val="28"/>
        </w:rPr>
        <w:t>发生以上情形，退、补电量未确定之前，用电人先按抄见电量如期交纳电费，误差确定后，再行退补。</w:t>
      </w:r>
    </w:p>
    <w:bookmarkEnd w:id="24"/>
    <w:bookmarkEnd w:id="25"/>
    <w:p>
      <w:pPr>
        <w:snapToGrid w:val="0"/>
        <w:spacing w:line="480" w:lineRule="exact"/>
        <w:ind w:firstLine="560" w:firstLineChars="200"/>
        <w:rPr>
          <w:rFonts w:hint="eastAsia" w:ascii="仿宋" w:hAnsi="仿宋" w:eastAsia="仿宋"/>
          <w:sz w:val="28"/>
        </w:rPr>
      </w:pPr>
      <w:bookmarkStart w:id="26" w:name="_Toc251681048"/>
      <w:bookmarkStart w:id="27" w:name="_Toc251681623"/>
      <w:r>
        <w:rPr>
          <w:rFonts w:hint="eastAsia" w:ascii="仿宋" w:hAnsi="仿宋" w:eastAsia="仿宋"/>
          <w:sz w:val="28"/>
        </w:rPr>
        <w:t>6.4 抄表记录、用电信息采集系统、表内留存的信息作为双方处理有关计量争议的依据。</w:t>
      </w:r>
      <w:bookmarkEnd w:id="26"/>
      <w:bookmarkEnd w:id="27"/>
    </w:p>
    <w:p>
      <w:pPr>
        <w:snapToGrid w:val="0"/>
        <w:spacing w:line="480" w:lineRule="exact"/>
        <w:ind w:firstLine="560" w:firstLineChars="200"/>
        <w:rPr>
          <w:rFonts w:hint="eastAsia" w:ascii="仿宋_GB2312" w:hAnsi="方正仿宋_GBK" w:eastAsia="仿宋_GB2312"/>
          <w:sz w:val="28"/>
        </w:rPr>
      </w:pPr>
      <w:r>
        <w:rPr>
          <w:rFonts w:hint="eastAsia" w:ascii="仿宋" w:hAnsi="仿宋" w:eastAsia="仿宋"/>
          <w:sz w:val="28"/>
        </w:rPr>
        <w:t>6.5 按确定的退补电量和误差期间的电价标准计算退、补电费</w:t>
      </w:r>
      <w:r>
        <w:rPr>
          <w:rFonts w:hint="eastAsia" w:ascii="仿宋_GB2312" w:eastAsia="仿宋_GB2312"/>
          <w:sz w:val="28"/>
        </w:rPr>
        <w:t>。</w:t>
      </w:r>
      <w:bookmarkEnd w:id="21"/>
      <w:bookmarkEnd w:id="22"/>
      <w:bookmarkEnd w:id="23"/>
    </w:p>
    <w:p>
      <w:pPr>
        <w:pStyle w:val="2"/>
        <w:spacing w:line="480" w:lineRule="exact"/>
        <w:ind w:firstLine="560"/>
        <w:jc w:val="both"/>
        <w:rPr>
          <w:rFonts w:hint="eastAsia" w:ascii="黑体" w:eastAsia="黑体"/>
          <w:b w:val="0"/>
          <w:kern w:val="2"/>
          <w:sz w:val="28"/>
        </w:rPr>
      </w:pPr>
      <w:bookmarkStart w:id="28" w:name="_Toc252795111"/>
      <w:bookmarkStart w:id="29" w:name="_Toc252599127"/>
      <w:bookmarkStart w:id="30" w:name="_Toc468783708"/>
      <w:bookmarkStart w:id="31" w:name="_Toc251681054"/>
      <w:bookmarkStart w:id="32" w:name="_Toc251681629"/>
      <w:bookmarkStart w:id="33" w:name="_Toc252599136"/>
      <w:r>
        <w:rPr>
          <w:rFonts w:hint="eastAsia" w:ascii="黑体" w:eastAsia="黑体"/>
          <w:b w:val="0"/>
          <w:kern w:val="2"/>
          <w:sz w:val="28"/>
        </w:rPr>
        <w:t>7.供电质量</w:t>
      </w:r>
      <w:bookmarkEnd w:id="28"/>
      <w:bookmarkEnd w:id="29"/>
      <w:bookmarkEnd w:id="30"/>
    </w:p>
    <w:p>
      <w:pPr>
        <w:spacing w:line="480" w:lineRule="exact"/>
        <w:ind w:firstLine="560" w:firstLineChars="200"/>
        <w:rPr>
          <w:rFonts w:hint="eastAsia" w:ascii="仿宋" w:hAnsi="仿宋" w:eastAsia="仿宋"/>
          <w:b/>
          <w:sz w:val="28"/>
        </w:rPr>
      </w:pPr>
      <w:r>
        <w:rPr>
          <w:rFonts w:hint="eastAsia" w:ascii="仿宋" w:hAnsi="仿宋" w:eastAsia="仿宋"/>
          <w:sz w:val="28"/>
        </w:rPr>
        <w:t>在电力系统处于正常运行状况下，供到用电人受电点的电能质量应符合国家规定的标准。</w:t>
      </w:r>
    </w:p>
    <w:bookmarkEnd w:id="31"/>
    <w:bookmarkEnd w:id="32"/>
    <w:bookmarkEnd w:id="33"/>
    <w:p>
      <w:pPr>
        <w:pStyle w:val="2"/>
        <w:spacing w:line="480" w:lineRule="exact"/>
        <w:ind w:firstLine="560"/>
        <w:jc w:val="both"/>
        <w:rPr>
          <w:rFonts w:hint="eastAsia" w:ascii="黑体" w:hAnsi="方正仿宋_GBK" w:eastAsia="黑体"/>
          <w:b w:val="0"/>
          <w:kern w:val="2"/>
          <w:sz w:val="28"/>
        </w:rPr>
      </w:pPr>
      <w:bookmarkStart w:id="34" w:name="_Toc252795112"/>
      <w:bookmarkStart w:id="35" w:name="_Toc468783709"/>
      <w:bookmarkStart w:id="36" w:name="_Toc252599137"/>
      <w:bookmarkStart w:id="37" w:name="_Toc251681065"/>
      <w:bookmarkStart w:id="38" w:name="_Toc251681640"/>
      <w:r>
        <w:rPr>
          <w:rFonts w:hint="eastAsia" w:ascii="黑体" w:hAnsi="方正仿宋_GBK" w:eastAsia="黑体"/>
          <w:b w:val="0"/>
          <w:kern w:val="2"/>
          <w:sz w:val="28"/>
        </w:rPr>
        <w:t>8.连续供电</w:t>
      </w:r>
      <w:bookmarkEnd w:id="34"/>
      <w:bookmarkEnd w:id="35"/>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8.1 在发供电系统正常情况下，供电人连续向用电人供电。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8.2 发生如下情形之一的，供电人可中止供电：</w:t>
      </w:r>
    </w:p>
    <w:p>
      <w:pPr>
        <w:pStyle w:val="27"/>
        <w:spacing w:line="480" w:lineRule="exact"/>
        <w:ind w:firstLine="560"/>
        <w:rPr>
          <w:rFonts w:hint="eastAsia" w:ascii="仿宋" w:hAnsi="仿宋" w:eastAsia="仿宋"/>
          <w:sz w:val="28"/>
        </w:rPr>
      </w:pPr>
      <w:r>
        <w:rPr>
          <w:rFonts w:hint="eastAsia" w:ascii="仿宋" w:hAnsi="仿宋" w:eastAsia="仿宋"/>
          <w:sz w:val="28"/>
        </w:rPr>
        <w:t>（1）供电设施计划或临时检修的；</w:t>
      </w:r>
    </w:p>
    <w:p>
      <w:pPr>
        <w:pStyle w:val="27"/>
        <w:spacing w:line="480" w:lineRule="exact"/>
        <w:ind w:firstLine="560"/>
        <w:rPr>
          <w:rFonts w:hint="eastAsia" w:ascii="仿宋" w:hAnsi="仿宋" w:eastAsia="仿宋"/>
          <w:sz w:val="28"/>
        </w:rPr>
      </w:pPr>
      <w:r>
        <w:rPr>
          <w:rFonts w:hint="eastAsia" w:ascii="仿宋" w:hAnsi="仿宋" w:eastAsia="仿宋"/>
          <w:sz w:val="28"/>
        </w:rPr>
        <w:t>（2）用电人危害供用电安全，扰乱供用电秩序，拒绝检查的；</w:t>
      </w:r>
    </w:p>
    <w:p>
      <w:pPr>
        <w:pStyle w:val="27"/>
        <w:spacing w:line="480" w:lineRule="exact"/>
        <w:ind w:firstLine="560"/>
        <w:rPr>
          <w:rFonts w:hint="eastAsia" w:ascii="仿宋" w:hAnsi="仿宋" w:eastAsia="仿宋"/>
          <w:sz w:val="28"/>
        </w:rPr>
      </w:pPr>
      <w:r>
        <w:rPr>
          <w:rFonts w:hint="eastAsia" w:ascii="仿宋" w:hAnsi="仿宋" w:eastAsia="仿宋"/>
          <w:sz w:val="28"/>
        </w:rPr>
        <w:t>（3）用电人逾期未交电费，经供电人催交仍未交付的；</w:t>
      </w:r>
    </w:p>
    <w:p>
      <w:pPr>
        <w:pStyle w:val="27"/>
        <w:spacing w:line="480" w:lineRule="exact"/>
        <w:ind w:firstLine="560"/>
        <w:rPr>
          <w:rFonts w:hint="eastAsia" w:ascii="仿宋" w:hAnsi="仿宋" w:eastAsia="仿宋"/>
          <w:sz w:val="28"/>
        </w:rPr>
      </w:pPr>
      <w:r>
        <w:rPr>
          <w:rFonts w:hint="eastAsia" w:ascii="仿宋" w:hAnsi="仿宋" w:eastAsia="仿宋"/>
          <w:sz w:val="28"/>
        </w:rPr>
        <w:t>（4）用电人受电装置经检验不合格，在指定期间未改善的；</w:t>
      </w:r>
    </w:p>
    <w:p>
      <w:pPr>
        <w:pStyle w:val="27"/>
        <w:spacing w:line="480" w:lineRule="exact"/>
        <w:ind w:firstLine="560"/>
        <w:rPr>
          <w:rFonts w:hint="eastAsia" w:ascii="仿宋" w:hAnsi="仿宋" w:eastAsia="仿宋"/>
          <w:sz w:val="28"/>
        </w:rPr>
      </w:pPr>
      <w:r>
        <w:rPr>
          <w:rFonts w:hint="eastAsia" w:ascii="仿宋" w:hAnsi="仿宋" w:eastAsia="仿宋"/>
          <w:sz w:val="28"/>
        </w:rPr>
        <w:t>（5）用电人注入电网的谐波电流超过标准，以及冲击负荷、非对称负荷等对电网电能质量产生干扰和妨碍，严重影响、威胁电网安全，拒不按期采取有效措施进行治理改善的；</w:t>
      </w:r>
    </w:p>
    <w:p>
      <w:pPr>
        <w:pStyle w:val="27"/>
        <w:spacing w:line="480" w:lineRule="exact"/>
        <w:ind w:firstLine="560"/>
        <w:rPr>
          <w:rFonts w:hint="eastAsia" w:ascii="仿宋" w:hAnsi="仿宋" w:eastAsia="仿宋"/>
          <w:sz w:val="28"/>
        </w:rPr>
      </w:pPr>
      <w:r>
        <w:rPr>
          <w:rFonts w:hint="eastAsia" w:ascii="仿宋" w:hAnsi="仿宋" w:eastAsia="仿宋"/>
          <w:sz w:val="28"/>
        </w:rPr>
        <w:t>（6）用电人拒不在限期内拆除私增用电容量的；</w:t>
      </w:r>
    </w:p>
    <w:p>
      <w:pPr>
        <w:pStyle w:val="27"/>
        <w:spacing w:line="480" w:lineRule="exact"/>
        <w:ind w:firstLine="560"/>
        <w:rPr>
          <w:rFonts w:hint="eastAsia" w:ascii="仿宋" w:hAnsi="仿宋" w:eastAsia="仿宋"/>
          <w:sz w:val="28"/>
        </w:rPr>
      </w:pPr>
      <w:r>
        <w:rPr>
          <w:rFonts w:hint="eastAsia" w:ascii="仿宋" w:hAnsi="仿宋" w:eastAsia="仿宋"/>
          <w:sz w:val="28"/>
        </w:rPr>
        <w:t>（7）用电人拒不在限期内交付违约用电引起的费用的；</w:t>
      </w:r>
    </w:p>
    <w:p>
      <w:pPr>
        <w:pStyle w:val="27"/>
        <w:spacing w:line="480" w:lineRule="exact"/>
        <w:ind w:firstLine="560"/>
        <w:rPr>
          <w:rFonts w:hint="eastAsia" w:ascii="仿宋" w:hAnsi="仿宋" w:eastAsia="仿宋"/>
          <w:sz w:val="28"/>
        </w:rPr>
      </w:pPr>
      <w:r>
        <w:rPr>
          <w:rFonts w:hint="eastAsia" w:ascii="仿宋" w:hAnsi="仿宋" w:eastAsia="仿宋"/>
          <w:sz w:val="28"/>
        </w:rPr>
        <w:t>（8）用电人违反安全用电、有序用电有关规定，拒不改正的；</w:t>
      </w:r>
    </w:p>
    <w:p>
      <w:pPr>
        <w:pStyle w:val="27"/>
        <w:spacing w:line="480" w:lineRule="exact"/>
        <w:ind w:firstLine="560"/>
        <w:rPr>
          <w:rFonts w:hint="eastAsia" w:ascii="仿宋" w:hAnsi="仿宋" w:eastAsia="仿宋"/>
          <w:sz w:val="28"/>
        </w:rPr>
      </w:pPr>
      <w:r>
        <w:rPr>
          <w:rFonts w:hint="eastAsia" w:ascii="仿宋" w:hAnsi="仿宋" w:eastAsia="仿宋"/>
          <w:sz w:val="28"/>
        </w:rPr>
        <w:t>（9）发生不可抗力或紧急避险的；</w:t>
      </w:r>
    </w:p>
    <w:p>
      <w:pPr>
        <w:pStyle w:val="27"/>
        <w:spacing w:line="480" w:lineRule="exact"/>
        <w:ind w:firstLine="560"/>
        <w:rPr>
          <w:rFonts w:hint="eastAsia" w:ascii="仿宋" w:hAnsi="仿宋" w:eastAsia="仿宋"/>
          <w:sz w:val="28"/>
        </w:rPr>
      </w:pPr>
      <w:r>
        <w:rPr>
          <w:rFonts w:hint="eastAsia" w:ascii="仿宋" w:hAnsi="仿宋" w:eastAsia="仿宋"/>
          <w:sz w:val="28"/>
        </w:rPr>
        <w:t>（10）用电人实施本合同第13条行为的；</w:t>
      </w:r>
    </w:p>
    <w:p>
      <w:pPr>
        <w:spacing w:line="480" w:lineRule="exact"/>
        <w:ind w:firstLine="560" w:firstLineChars="200"/>
        <w:rPr>
          <w:rFonts w:hint="eastAsia" w:ascii="仿宋" w:hAnsi="仿宋" w:eastAsia="仿宋"/>
          <w:sz w:val="28"/>
        </w:rPr>
      </w:pPr>
      <w:r>
        <w:rPr>
          <w:rFonts w:hint="eastAsia" w:ascii="仿宋" w:hAnsi="仿宋" w:eastAsia="仿宋"/>
          <w:sz w:val="28"/>
        </w:rPr>
        <w:t>（11）</w:t>
      </w:r>
      <w:r>
        <w:rPr>
          <w:rFonts w:hint="eastAsia" w:ascii="仿宋" w:hAnsi="仿宋" w:eastAsia="仿宋"/>
          <w:color w:val="000000"/>
          <w:sz w:val="28"/>
        </w:rPr>
        <w:t>用电人装有预购电装置</w:t>
      </w:r>
      <w:r>
        <w:rPr>
          <w:rFonts w:hint="eastAsia" w:ascii="仿宋" w:hAnsi="仿宋" w:eastAsia="仿宋"/>
          <w:sz w:val="28"/>
        </w:rPr>
        <w:t xml:space="preserve">、限流开关、负荷控制装置的，在预购电量使用完毕、用户超容量用电或超负荷用电时自动停电的； </w:t>
      </w:r>
    </w:p>
    <w:p>
      <w:pPr>
        <w:spacing w:line="480" w:lineRule="exact"/>
        <w:ind w:firstLine="560" w:firstLineChars="200"/>
        <w:rPr>
          <w:rFonts w:hint="eastAsia" w:ascii="仿宋" w:hAnsi="仿宋" w:eastAsia="仿宋"/>
          <w:sz w:val="28"/>
        </w:rPr>
      </w:pPr>
      <w:r>
        <w:rPr>
          <w:rFonts w:hint="eastAsia" w:ascii="仿宋" w:hAnsi="仿宋" w:eastAsia="仿宋"/>
          <w:sz w:val="28"/>
        </w:rPr>
        <w:t>（12）</w:t>
      </w:r>
      <w:r>
        <w:rPr>
          <w:rFonts w:hint="eastAsia" w:ascii="仿宋" w:hAnsi="仿宋" w:eastAsia="仿宋"/>
          <w:color w:val="000000"/>
          <w:sz w:val="28"/>
        </w:rPr>
        <w:t>供电人执行政府机关或授权机构依法做出的停电指令的</w:t>
      </w:r>
      <w:r>
        <w:rPr>
          <w:rFonts w:hint="eastAsia" w:ascii="仿宋" w:hAnsi="仿宋" w:eastAsia="仿宋"/>
          <w:sz w:val="28"/>
        </w:rPr>
        <w:t>；</w:t>
      </w:r>
    </w:p>
    <w:p>
      <w:pPr>
        <w:pStyle w:val="27"/>
        <w:spacing w:line="480" w:lineRule="exact"/>
        <w:ind w:firstLine="560"/>
        <w:rPr>
          <w:rFonts w:hint="eastAsia" w:ascii="仿宋" w:hAnsi="仿宋" w:eastAsia="仿宋"/>
          <w:sz w:val="28"/>
        </w:rPr>
      </w:pPr>
      <w:r>
        <w:rPr>
          <w:rFonts w:hint="eastAsia" w:ascii="仿宋" w:hAnsi="仿宋" w:eastAsia="仿宋"/>
          <w:sz w:val="28"/>
        </w:rPr>
        <w:t>（13）</w:t>
      </w:r>
      <w:r>
        <w:rPr>
          <w:rFonts w:hint="eastAsia" w:ascii="仿宋" w:hAnsi="仿宋" w:eastAsia="仿宋"/>
          <w:color w:val="000000"/>
          <w:sz w:val="28"/>
        </w:rPr>
        <w:t>因电力供需紧张等原因需要停电</w:t>
      </w:r>
      <w:r>
        <w:rPr>
          <w:rFonts w:hint="eastAsia" w:ascii="仿宋" w:hAnsi="仿宋" w:eastAsia="仿宋"/>
          <w:sz w:val="28"/>
        </w:rPr>
        <w:t>、限电的；</w:t>
      </w:r>
    </w:p>
    <w:p>
      <w:pPr>
        <w:spacing w:line="480" w:lineRule="exact"/>
        <w:ind w:firstLine="560" w:firstLineChars="200"/>
        <w:rPr>
          <w:rFonts w:hint="eastAsia" w:ascii="仿宋" w:hAnsi="仿宋" w:eastAsia="仿宋"/>
          <w:sz w:val="28"/>
        </w:rPr>
      </w:pPr>
      <w:r>
        <w:rPr>
          <w:rFonts w:hint="eastAsia" w:ascii="仿宋" w:hAnsi="仿宋" w:eastAsia="仿宋"/>
          <w:sz w:val="28"/>
        </w:rPr>
        <w:t>（14）法律、法规和规章规定的其他情形。</w:t>
      </w:r>
    </w:p>
    <w:p>
      <w:pPr>
        <w:pStyle w:val="2"/>
        <w:spacing w:line="480" w:lineRule="exact"/>
        <w:ind w:firstLine="560"/>
        <w:rPr>
          <w:rFonts w:hint="eastAsia" w:ascii="黑体" w:hAnsi="方正仿宋_GBK" w:eastAsia="黑体"/>
          <w:b w:val="0"/>
          <w:kern w:val="2"/>
          <w:sz w:val="28"/>
        </w:rPr>
      </w:pPr>
      <w:bookmarkStart w:id="39" w:name="_Toc252795113"/>
      <w:bookmarkStart w:id="40" w:name="_Toc252599754"/>
      <w:bookmarkStart w:id="41" w:name="_Toc468783710"/>
      <w:bookmarkStart w:id="42" w:name="_Toc252783560"/>
      <w:r>
        <w:rPr>
          <w:rFonts w:hint="eastAsia" w:ascii="黑体" w:hAnsi="方正仿宋_GBK" w:eastAsia="黑体"/>
          <w:b w:val="0"/>
          <w:kern w:val="2"/>
          <w:sz w:val="28"/>
        </w:rPr>
        <w:t>9.中止供电程序</w:t>
      </w:r>
      <w:bookmarkEnd w:id="39"/>
      <w:bookmarkEnd w:id="40"/>
      <w:bookmarkEnd w:id="41"/>
      <w:bookmarkEnd w:id="42"/>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9.1 因故需要中止供电的，按如下程序进行：</w:t>
      </w:r>
    </w:p>
    <w:p>
      <w:pPr>
        <w:pStyle w:val="26"/>
        <w:spacing w:line="480" w:lineRule="exact"/>
        <w:ind w:firstLine="560" w:firstLineChars="200"/>
        <w:rPr>
          <w:rFonts w:hint="eastAsia" w:ascii="仿宋" w:hAnsi="仿宋" w:eastAsia="仿宋"/>
          <w:sz w:val="28"/>
        </w:rPr>
      </w:pPr>
      <w:r>
        <w:rPr>
          <w:rFonts w:hint="eastAsia" w:ascii="仿宋" w:hAnsi="仿宋" w:eastAsia="仿宋"/>
          <w:sz w:val="28"/>
        </w:rPr>
        <w:t xml:space="preserve">（1）供电设施计划检修需要中止供电的，供电人应当提前7日公告停电区域、停电线路、停电时间，并通知重要电力用户等级的用电人； </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（2）供电设施临时检修需要中止供电的，供电企业应当提前 24小时公告停电区域、停电线路、停电时间，并通知重要电力用户等级的用电人。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9.2 发生以下情形之一的，供电人可当即中止供电：</w:t>
      </w:r>
    </w:p>
    <w:p>
      <w:pPr>
        <w:tabs>
          <w:tab w:val="left" w:pos="720"/>
        </w:tabs>
        <w:snapToGrid w:val="0"/>
        <w:spacing w:line="480" w:lineRule="exact"/>
        <w:ind w:firstLine="560" w:firstLineChars="200"/>
        <w:rPr>
          <w:rFonts w:hint="eastAsia" w:ascii="仿宋" w:hAnsi="仿宋" w:eastAsia="仿宋"/>
          <w:sz w:val="28"/>
        </w:rPr>
      </w:pPr>
      <w:r>
        <w:rPr>
          <w:rFonts w:hint="eastAsia" w:ascii="仿宋" w:hAnsi="仿宋" w:eastAsia="仿宋"/>
          <w:sz w:val="28"/>
        </w:rPr>
        <w:t>（1）发生不可抗力或紧急避险；</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（2）用电人实施本合同第13.6条至第13.11条行为的</w:t>
      </w:r>
      <w:bookmarkStart w:id="43" w:name="_Toc252795114"/>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9.3 因</w:t>
      </w:r>
      <w:r>
        <w:rPr>
          <w:rFonts w:hint="eastAsia" w:ascii="仿宋" w:hAnsi="仿宋" w:eastAsia="仿宋"/>
          <w:color w:val="000000"/>
          <w:sz w:val="28"/>
        </w:rPr>
        <w:t>执行政府机关或授权机构做出的停电指令而中止供电的，供电人应按照指令的要求中止供电。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9.4 除以上中止供电情形外，需对用电人中止供电时，按如下程序进行：</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（1）停电前三至七天内，将停电通知书送达用电人,对重要电力用户的停电，同时将停电通知书报送同级电力管理部门；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（2）停电前30分钟，将停电时间再通知用电人一次。</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9.5引起中止供电或限电的原因消除后，供电人应在三日内恢复供电。不能在三日内恢复供电的，应向用电人说明原因。</w:t>
      </w:r>
      <w:bookmarkEnd w:id="36"/>
      <w:bookmarkEnd w:id="43"/>
    </w:p>
    <w:bookmarkEnd w:id="37"/>
    <w:bookmarkEnd w:id="38"/>
    <w:p>
      <w:pPr>
        <w:pStyle w:val="2"/>
        <w:spacing w:line="480" w:lineRule="exact"/>
        <w:ind w:firstLine="560"/>
        <w:rPr>
          <w:rFonts w:hint="eastAsia" w:ascii="黑体" w:hAnsi="方正仿宋_GBK" w:eastAsia="黑体"/>
          <w:b w:val="0"/>
          <w:sz w:val="28"/>
        </w:rPr>
      </w:pPr>
      <w:bookmarkStart w:id="44" w:name="_Toc252599138"/>
      <w:bookmarkStart w:id="45" w:name="_Toc252795115"/>
      <w:bookmarkStart w:id="46" w:name="_Toc468783711"/>
      <w:bookmarkStart w:id="47" w:name="_Toc251681066"/>
      <w:bookmarkStart w:id="48" w:name="_Toc251681641"/>
      <w:r>
        <w:rPr>
          <w:rFonts w:hint="eastAsia" w:ascii="黑体" w:hAnsi="方正仿宋_GBK" w:eastAsia="黑体"/>
          <w:b w:val="0"/>
          <w:kern w:val="2"/>
          <w:sz w:val="28"/>
        </w:rPr>
        <w:t>10.配合事项</w:t>
      </w:r>
      <w:bookmarkEnd w:id="44"/>
      <w:bookmarkEnd w:id="45"/>
      <w:bookmarkEnd w:id="46"/>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10.1供电人为用电人交费和查询电价、电费、用电量、电能表示数提供方便。</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10.2为保障电网安全或因发电、供电系统发生故障以及根据本合同约定，需要停电、限电时，用电人应予以配合。</w:t>
      </w:r>
    </w:p>
    <w:bookmarkEnd w:id="47"/>
    <w:bookmarkEnd w:id="48"/>
    <w:p>
      <w:pPr>
        <w:snapToGrid w:val="0"/>
        <w:spacing w:line="480" w:lineRule="exact"/>
        <w:ind w:firstLine="560" w:firstLineChars="200"/>
        <w:rPr>
          <w:rFonts w:hint="eastAsia" w:ascii="仿宋" w:hAnsi="仿宋" w:eastAsia="仿宋"/>
          <w:sz w:val="28"/>
        </w:rPr>
      </w:pPr>
      <w:bookmarkStart w:id="49" w:name="_Toc251681070"/>
      <w:bookmarkStart w:id="50" w:name="_Toc251681645"/>
      <w:r>
        <w:rPr>
          <w:rFonts w:hint="eastAsia" w:ascii="仿宋" w:hAnsi="仿宋" w:eastAsia="仿宋"/>
          <w:sz w:val="28"/>
        </w:rPr>
        <w:t>10.3供电人依法进行的用电检查或抄表，用电人应提供方便并予以配合，根据检查内容提供相应资料</w:t>
      </w:r>
      <w:bookmarkEnd w:id="49"/>
      <w:bookmarkEnd w:id="50"/>
      <w:r>
        <w:rPr>
          <w:rFonts w:hint="eastAsia" w:ascii="仿宋" w:hAnsi="仿宋" w:eastAsia="仿宋"/>
          <w:sz w:val="28"/>
        </w:rPr>
        <w:t>。用电检查的内容是：</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（1）用户受（送）电装置工程施工质量检验；</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（2）用户受（送）电装置中电气设备运行安全状况；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（3）用电计量装置、电力负荷控制装置、继电保护和自动装置、调度通讯等安全运行状况；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（4）供用电合同及有关协议履行的情况；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（5）受电端电能质量状况；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（6）违章用电和窃电行为；</w:t>
      </w:r>
    </w:p>
    <w:p>
      <w:pPr>
        <w:snapToGrid w:val="0"/>
        <w:spacing w:line="480" w:lineRule="exact"/>
        <w:ind w:firstLine="560" w:firstLineChars="200"/>
      </w:pPr>
      <w:r>
        <w:rPr>
          <w:rFonts w:hint="eastAsia" w:ascii="仿宋" w:hAnsi="仿宋" w:eastAsia="仿宋"/>
          <w:sz w:val="28"/>
        </w:rPr>
        <w:t>（7）并网电源、自备电源并网安全状况。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10.4用电计量装置的安装、移动、更换、校验、拆除、加封、启封由供电人负责，用电人应提供必要的方便和配合；安装在用电人处的用电计量装置由用电人妥善保管，如有异常，应及时通知供电人。</w:t>
      </w:r>
    </w:p>
    <w:p>
      <w:pPr>
        <w:pStyle w:val="2"/>
        <w:spacing w:line="480" w:lineRule="exact"/>
        <w:ind w:firstLine="560"/>
        <w:rPr>
          <w:rFonts w:hint="eastAsia" w:ascii="黑体" w:hAnsi="方正仿宋_GBK" w:eastAsia="黑体"/>
          <w:b w:val="0"/>
          <w:kern w:val="2"/>
          <w:sz w:val="28"/>
        </w:rPr>
      </w:pPr>
      <w:bookmarkStart w:id="51" w:name="_Toc252599139"/>
      <w:bookmarkStart w:id="52" w:name="_Toc252795116"/>
      <w:bookmarkStart w:id="53" w:name="_Toc468783712"/>
      <w:r>
        <w:rPr>
          <w:rFonts w:hint="eastAsia" w:ascii="黑体" w:hAnsi="方正仿宋_GBK" w:eastAsia="黑体"/>
          <w:b w:val="0"/>
          <w:kern w:val="2"/>
          <w:sz w:val="28"/>
        </w:rPr>
        <w:t>11.质量共担</w:t>
      </w:r>
      <w:bookmarkEnd w:id="51"/>
      <w:bookmarkEnd w:id="52"/>
      <w:bookmarkEnd w:id="53"/>
    </w:p>
    <w:p>
      <w:pPr>
        <w:pStyle w:val="27"/>
        <w:spacing w:line="480" w:lineRule="exact"/>
        <w:ind w:firstLine="560"/>
        <w:rPr>
          <w:rFonts w:hint="eastAsia" w:ascii="仿宋" w:hAnsi="仿宋" w:eastAsia="仿宋"/>
          <w:sz w:val="28"/>
        </w:rPr>
      </w:pPr>
      <w:r>
        <w:rPr>
          <w:rFonts w:hint="eastAsia" w:ascii="仿宋" w:hAnsi="仿宋" w:eastAsia="仿宋"/>
          <w:sz w:val="28"/>
        </w:rPr>
        <w:t>用电人用电时的功率因数和谐波源负荷、冲击负荷、非对称负荷等产生的干扰与影响应符合国家标准。如用电人行为影响电网供电质量，威胁电网安全，供电人有权要求用电人限期整改，并在必要时采取有效措施解除对电网安全的上述威胁，用电人应给予充分必要的配合。</w:t>
      </w:r>
    </w:p>
    <w:p>
      <w:pPr>
        <w:pStyle w:val="2"/>
        <w:spacing w:line="480" w:lineRule="exact"/>
        <w:ind w:firstLine="560"/>
        <w:rPr>
          <w:rFonts w:hint="eastAsia" w:ascii="黑体" w:hAnsi="方正仿宋_GBK" w:eastAsia="黑体"/>
          <w:b w:val="0"/>
          <w:sz w:val="28"/>
        </w:rPr>
      </w:pPr>
      <w:bookmarkStart w:id="54" w:name="_Toc251681050"/>
      <w:bookmarkStart w:id="55" w:name="_Toc251681625"/>
      <w:bookmarkStart w:id="56" w:name="_Toc252599134"/>
      <w:bookmarkStart w:id="57" w:name="_Toc252795117"/>
      <w:bookmarkStart w:id="58" w:name="_Toc468783713"/>
      <w:r>
        <w:rPr>
          <w:rFonts w:hint="eastAsia" w:ascii="黑体" w:hAnsi="方正仿宋_GBK" w:eastAsia="黑体"/>
          <w:b w:val="0"/>
          <w:kern w:val="2"/>
          <w:sz w:val="28"/>
        </w:rPr>
        <w:t>12.供电人不得实施的行为</w:t>
      </w:r>
      <w:bookmarkEnd w:id="54"/>
      <w:bookmarkEnd w:id="55"/>
      <w:bookmarkEnd w:id="56"/>
      <w:bookmarkEnd w:id="57"/>
      <w:bookmarkEnd w:id="58"/>
    </w:p>
    <w:p>
      <w:pPr>
        <w:snapToGrid w:val="0"/>
        <w:spacing w:line="480" w:lineRule="exact"/>
        <w:ind w:firstLine="560" w:firstLineChars="200"/>
        <w:rPr>
          <w:rFonts w:hint="eastAsia" w:ascii="仿宋" w:hAnsi="仿宋" w:eastAsia="仿宋"/>
          <w:sz w:val="28"/>
        </w:rPr>
      </w:pPr>
      <w:bookmarkStart w:id="59" w:name="_Toc251681626"/>
      <w:bookmarkStart w:id="60" w:name="_Toc251681051"/>
      <w:r>
        <w:rPr>
          <w:rFonts w:hint="eastAsia" w:ascii="仿宋" w:hAnsi="仿宋" w:eastAsia="仿宋"/>
          <w:sz w:val="28"/>
        </w:rPr>
        <w:t>12.1故意使用电计量装置计量错误；</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12.2随电费收取其他不合理费用。</w:t>
      </w:r>
      <w:bookmarkEnd w:id="59"/>
      <w:bookmarkEnd w:id="60"/>
    </w:p>
    <w:p>
      <w:pPr>
        <w:pStyle w:val="2"/>
        <w:spacing w:line="480" w:lineRule="exact"/>
        <w:ind w:firstLine="560"/>
        <w:rPr>
          <w:rFonts w:hint="eastAsia" w:ascii="黑体" w:hAnsi="方正仿宋_GBK" w:eastAsia="黑体"/>
          <w:b w:val="0"/>
          <w:sz w:val="28"/>
        </w:rPr>
      </w:pPr>
      <w:bookmarkStart w:id="61" w:name="_Toc251681053"/>
      <w:bookmarkStart w:id="62" w:name="_Toc251681628"/>
      <w:bookmarkStart w:id="63" w:name="_Toc252599135"/>
      <w:bookmarkStart w:id="64" w:name="_Toc252795118"/>
      <w:bookmarkStart w:id="65" w:name="_Toc468783714"/>
      <w:r>
        <w:rPr>
          <w:rFonts w:hint="eastAsia" w:ascii="黑体" w:hAnsi="方正仿宋_GBK" w:eastAsia="黑体"/>
          <w:b w:val="0"/>
          <w:kern w:val="2"/>
          <w:sz w:val="28"/>
        </w:rPr>
        <w:t>13.用电人不得实施的行为</w:t>
      </w:r>
      <w:bookmarkEnd w:id="61"/>
      <w:bookmarkEnd w:id="62"/>
      <w:bookmarkEnd w:id="63"/>
      <w:bookmarkEnd w:id="64"/>
      <w:bookmarkEnd w:id="65"/>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13.1在电价低的供电线路上，擅自接用电价高的用电设备或私自改变用电类别；</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13.2私自超过合同约定容量用电；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13.3擅自使用已在供电人处办理暂停手续的电力设备或启用已封存电力设备；</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13.4私自迁移、更动和擅自操作供电人的用电计量装置；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13.5擅自引入（供出）电源或将自备应急电源和其他电源并网；</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13.6在供电人的供电设施上，擅自接线用电；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13.7绕越供电人用电计量装置用电；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13.8伪造或者开启供电人加封的用电计量装置封印用电；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13.9损坏供电人用电计量装置；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13.10使供电人用电计量装置失准或者失效；</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13.11采取其他方法导致不计量或少计量。</w:t>
      </w:r>
    </w:p>
    <w:p>
      <w:pPr>
        <w:pStyle w:val="2"/>
        <w:spacing w:line="480" w:lineRule="exact"/>
        <w:ind w:firstLine="560"/>
        <w:rPr>
          <w:rFonts w:hint="eastAsia" w:ascii="黑体" w:hAnsi="方正仿宋_GBK" w:eastAsia="黑体"/>
          <w:b w:val="0"/>
          <w:kern w:val="2"/>
          <w:sz w:val="28"/>
        </w:rPr>
      </w:pPr>
      <w:bookmarkStart w:id="66" w:name="_Toc468783715"/>
      <w:bookmarkStart w:id="67" w:name="_Toc252795119"/>
      <w:bookmarkStart w:id="68" w:name="_Toc251681646"/>
      <w:bookmarkStart w:id="69" w:name="_Toc251681071"/>
      <w:r>
        <w:rPr>
          <w:rFonts w:hint="eastAsia" w:ascii="黑体" w:hAnsi="方正仿宋_GBK" w:eastAsia="黑体"/>
          <w:b w:val="0"/>
          <w:kern w:val="2"/>
          <w:sz w:val="28"/>
        </w:rPr>
        <w:t>14.供电人的违约责任</w:t>
      </w:r>
      <w:bookmarkEnd w:id="66"/>
      <w:bookmarkEnd w:id="67"/>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14.1供电人违反本合同约定，应当按照国家、电力行业标准或本合同约定予以改正，继续履行。</w:t>
      </w:r>
    </w:p>
    <w:p>
      <w:pPr>
        <w:pStyle w:val="27"/>
        <w:spacing w:line="480" w:lineRule="exact"/>
        <w:ind w:firstLine="560"/>
        <w:rPr>
          <w:rFonts w:hint="eastAsia" w:ascii="仿宋" w:hAnsi="仿宋" w:eastAsia="仿宋"/>
          <w:b/>
          <w:sz w:val="28"/>
        </w:rPr>
      </w:pPr>
      <w:r>
        <w:rPr>
          <w:rFonts w:hint="eastAsia" w:ascii="仿宋" w:hAnsi="仿宋" w:eastAsia="仿宋"/>
          <w:b/>
          <w:sz w:val="28"/>
        </w:rPr>
        <w:t>14.2供电人违反本合同电能质量义务给用电人造成损失的，应赔偿用电人实际损失，最高赔偿限额为用电人在电能质量不合格的时间段内实际用电量和对应时段的平均电价乘积的百分之二十。但因用电人原因导致供电人未能履行电能质量保证义务的，则对用电人的该部分损失，供电人不承担赔偿责任。</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14.3供电人违反本合同约定实施停电给用电人造成损失的，应赔偿用电人实际损失，最高赔偿限额为用电人在停电时间内可能用电量（该用电量的计算参照）电度电费的五倍。</w:t>
      </w:r>
    </w:p>
    <w:p>
      <w:pPr>
        <w:snapToGrid w:val="0"/>
        <w:spacing w:line="480" w:lineRule="exact"/>
        <w:ind w:firstLine="560" w:firstLineChars="200"/>
        <w:rPr>
          <w:rFonts w:hint="eastAsia" w:ascii="仿宋" w:hAnsi="仿宋" w:eastAsia="仿宋"/>
          <w:b/>
          <w:sz w:val="28"/>
        </w:rPr>
      </w:pPr>
      <w:r>
        <w:rPr>
          <w:rFonts w:hint="eastAsia" w:ascii="仿宋" w:hAnsi="仿宋" w:eastAsia="仿宋"/>
          <w:sz w:val="28"/>
        </w:rPr>
        <w:t>前款所称的可能用电量，按照停电前用电人在上月与停电时间对等的同一时间段的平均用电量乘以停电小时求得。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14.4供电人未履行抢修义务而导致用电人损失扩大的，对扩大损失部分按本条第3款的原则给予赔偿。</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14.5供电人随电费收取其他不合理费用，造成用电人损失的，应退还用电人有关费用。</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14.6有如下情形之一的，供电人不承担违约责任：</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（1）符合本合同第八条约定的连续供电的除外情形且供电人已履行必经程序；</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（2）电力运行事故引起开关跳闸，经自动重合闸装置重合成功；</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（3）多电源供电只停其中一路，其他电源仍可满足用电人用电需要的；</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（4）用电人未按合同约定安装自备应急电源或采取非电保安措施，或者对自备应急电源和非电保安措施维护管理不当，导致损失扩大部分；</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（5）因用电人的过错行为所导致；</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（6）不可抗力；</w:t>
      </w:r>
    </w:p>
    <w:p>
      <w:pPr>
        <w:snapToGrid w:val="0"/>
        <w:spacing w:line="480" w:lineRule="exact"/>
        <w:ind w:firstLine="560" w:firstLineChars="200"/>
        <w:rPr>
          <w:rFonts w:hint="eastAsia" w:ascii="仿宋" w:hAnsi="仿宋" w:eastAsia="仿宋"/>
          <w:b/>
          <w:sz w:val="28"/>
        </w:rPr>
      </w:pPr>
      <w:r>
        <w:rPr>
          <w:rFonts w:hint="eastAsia" w:ascii="仿宋" w:hAnsi="仿宋" w:eastAsia="仿宋"/>
          <w:b/>
          <w:sz w:val="28"/>
        </w:rPr>
        <w:t>（7）用电人应对其设备的安全负责，供电人不承担因被检查设备不安全引起的任何直接损坏或损害的赔偿责任；</w:t>
      </w:r>
    </w:p>
    <w:p>
      <w:pPr>
        <w:pStyle w:val="27"/>
        <w:spacing w:line="480" w:lineRule="exact"/>
        <w:ind w:firstLine="560"/>
        <w:rPr>
          <w:rFonts w:hint="eastAsia" w:ascii="仿宋" w:hAnsi="仿宋" w:eastAsia="仿宋"/>
          <w:b/>
          <w:sz w:val="28"/>
        </w:rPr>
      </w:pPr>
      <w:r>
        <w:rPr>
          <w:rFonts w:hint="eastAsia" w:ascii="仿宋" w:hAnsi="仿宋" w:eastAsia="仿宋"/>
          <w:b/>
          <w:sz w:val="28"/>
        </w:rPr>
        <w:t>（8）法律、法规和规章规定的其它免责情形。</w:t>
      </w:r>
    </w:p>
    <w:p>
      <w:pPr>
        <w:pStyle w:val="2"/>
        <w:spacing w:line="480" w:lineRule="exact"/>
        <w:ind w:firstLine="560"/>
        <w:rPr>
          <w:rFonts w:hint="eastAsia" w:ascii="黑体" w:eastAsia="黑体"/>
          <w:b w:val="0"/>
          <w:sz w:val="28"/>
        </w:rPr>
      </w:pPr>
      <w:bookmarkStart w:id="70" w:name="_Toc252783588"/>
      <w:bookmarkStart w:id="71" w:name="_Toc468783716"/>
      <w:bookmarkStart w:id="72" w:name="_Toc252795120"/>
      <w:bookmarkStart w:id="73" w:name="_Toc252599782"/>
      <w:r>
        <w:rPr>
          <w:rFonts w:hint="eastAsia" w:ascii="黑体" w:hAnsi="方正仿宋_GBK" w:eastAsia="黑体"/>
          <w:b w:val="0"/>
          <w:kern w:val="2"/>
          <w:sz w:val="28"/>
        </w:rPr>
        <w:t>15.用电人的违约责任</w:t>
      </w:r>
      <w:bookmarkEnd w:id="70"/>
      <w:bookmarkEnd w:id="71"/>
      <w:bookmarkEnd w:id="72"/>
      <w:bookmarkEnd w:id="73"/>
    </w:p>
    <w:p>
      <w:pPr>
        <w:pStyle w:val="27"/>
        <w:spacing w:line="480" w:lineRule="exact"/>
        <w:ind w:firstLine="560"/>
        <w:rPr>
          <w:rFonts w:hint="eastAsia" w:ascii="仿宋" w:hAnsi="仿宋" w:eastAsia="仿宋"/>
          <w:sz w:val="28"/>
        </w:rPr>
      </w:pPr>
      <w:r>
        <w:rPr>
          <w:rFonts w:hint="eastAsia" w:ascii="仿宋" w:hAnsi="仿宋" w:eastAsia="仿宋"/>
          <w:sz w:val="28"/>
        </w:rPr>
        <w:t>15.1用电人违反本合同约定义务，应当按照国家、电力行业标准或本合同约定予以改正，并继续履行。用电人违约行为危及供电安全时，供电人可要求用电人立即改正，用电人拒不改正时，供电人可采用操作用电人设施等方式直接代替用电人改正，相关费用和损失由用电人承担。</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15.2由于用电人责任造成供电人对外供电停止，应当按供电人少供电量乘以上月份平均售电单价给予赔偿；其中，少供电量为停电时间上月份每小时平均供电量乘以停电小时。停电时间不足１小时的按１小时计算，超过１小时的按实际停电时间计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15.3因用电人过错给供电人或者其他用户造成财产损失的，用电人应当依法承担赔偿责任。本款责任不因15.4条责任而免除。</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15.4用电人有以下违约行为,应按合同约定向供电人支付违约金或违约使用电费：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用电人违反本合同约定逾期交付电费，当年欠费部分的每日按欠交额的千分之二、跨年度欠费部分的每日按欠交额的千分之三计付；但累计不超过造成损失的百分之三十，交纳电费时应先冲抵到期电费债务，即用户应先交纳电费欠费后再交纳违约金；</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（2）用电人擅自改变用电类别或在电价低的供电线路上，擅自接用电价高的用电设备的，按差额电费的两倍计付违约使用电费，差额电费按实际违约使用日期计算；违约使用起讫日难以确定的，按三个月计算；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（3）擅自迁移、更动或操作用电计量装置、电力负荷管理装置、擅自操作供电企业的供电设施以及约定由供电人调度的受电设备的，按每次5000元计付违约使用电费；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（4）擅自引入、供出电源或者将自备电源和其他电源私自并网的，按引入、供出或并网电源容量的每千伏安/千瓦500元计付违约使用电费；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用电人擅自在供电人供电设施上接线用电、绕越用电计量装置用电、伪造或开启已加封的用电计量装置用电，损坏用电计量装置、使用电计量装置不准或失效的，按补交电费的三倍计付违约使用电费。少计电量时间无法查明时，按180天计算。日使用时间按小时计算，其中，电力用户每日按12小时计算，照明用户每日按6小时计算。</w:t>
      </w:r>
    </w:p>
    <w:p>
      <w:pPr>
        <w:pStyle w:val="19"/>
        <w:tabs>
          <w:tab w:val="left" w:pos="6090"/>
        </w:tabs>
        <w:ind w:firstLine="560" w:firstLineChars="200"/>
        <w:rPr>
          <w:rFonts w:hint="eastAsia" w:ascii="仿宋" w:hAnsi="仿宋" w:eastAsia="仿宋"/>
          <w:sz w:val="28"/>
        </w:rPr>
      </w:pPr>
      <w:r>
        <w:rPr>
          <w:rFonts w:hint="eastAsia" w:ascii="仿宋" w:hAnsi="仿宋" w:eastAsia="仿宋"/>
          <w:sz w:val="28"/>
        </w:rPr>
        <w:t>15.5用电人在最近12个月内发生恶意拖欠电费、窃电等情形的，供电人可以将用电人列入失信客户名单，提交给金融机构、政府的征信系统作为信用评价的依据。</w:t>
      </w:r>
    </w:p>
    <w:p>
      <w:pPr>
        <w:pStyle w:val="19"/>
        <w:tabs>
          <w:tab w:val="left" w:pos="6090"/>
        </w:tabs>
        <w:ind w:firstLine="560" w:firstLineChars="200"/>
        <w:rPr>
          <w:rFonts w:hint="eastAsia" w:ascii="仿宋" w:hAnsi="仿宋" w:eastAsia="仿宋"/>
          <w:sz w:val="28"/>
        </w:rPr>
      </w:pPr>
      <w:r>
        <w:rPr>
          <w:rFonts w:hint="eastAsia" w:ascii="仿宋" w:hAnsi="仿宋" w:eastAsia="仿宋"/>
          <w:sz w:val="28"/>
        </w:rPr>
        <w:t>因用电人拖欠电费原因导致表计等计量装置断开，影响光伏、风力、水电等发电并网的情况，由用电人自行承担一切损失。</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15.6用电人违约责任因以下原因而免除：</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（1）不可抗力；</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（2）法律、法规及规章规定的免责情形。</w:t>
      </w:r>
      <w:bookmarkEnd w:id="68"/>
      <w:bookmarkEnd w:id="69"/>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15.7因追究用电人违约责任而产生的费用，包括但不限于律师费、差旅费等费用由用电人承担。</w:t>
      </w:r>
    </w:p>
    <w:p>
      <w:pPr>
        <w:pStyle w:val="2"/>
        <w:spacing w:line="480" w:lineRule="exact"/>
        <w:ind w:firstLine="560"/>
        <w:rPr>
          <w:rFonts w:hint="eastAsia" w:ascii="黑体" w:hAnsi="方正仿宋_GBK" w:eastAsia="黑体"/>
          <w:b w:val="0"/>
          <w:sz w:val="28"/>
        </w:rPr>
      </w:pPr>
      <w:bookmarkStart w:id="74" w:name="_Toc252599142"/>
      <w:bookmarkStart w:id="75" w:name="_Toc252795121"/>
      <w:bookmarkStart w:id="76" w:name="_Toc468783717"/>
      <w:r>
        <w:rPr>
          <w:rFonts w:hint="eastAsia" w:ascii="黑体" w:hAnsi="方正仿宋_GBK" w:eastAsia="黑体"/>
          <w:b w:val="0"/>
          <w:kern w:val="2"/>
          <w:sz w:val="28"/>
        </w:rPr>
        <w:t>16.合同的生效、转让及变更</w:t>
      </w:r>
      <w:bookmarkEnd w:id="74"/>
      <w:bookmarkEnd w:id="75"/>
      <w:bookmarkEnd w:id="76"/>
    </w:p>
    <w:p>
      <w:pPr>
        <w:snapToGrid w:val="0"/>
        <w:spacing w:line="480" w:lineRule="exact"/>
        <w:ind w:firstLine="560" w:firstLineChars="200"/>
        <w:rPr>
          <w:rFonts w:hint="eastAsia" w:ascii="仿宋" w:hAnsi="仿宋" w:eastAsia="仿宋"/>
          <w:sz w:val="28"/>
        </w:rPr>
      </w:pPr>
      <w:bookmarkStart w:id="77" w:name="_Toc251681649"/>
      <w:bookmarkStart w:id="78" w:name="_Toc251681074"/>
      <w:r>
        <w:rPr>
          <w:rFonts w:hint="eastAsia" w:ascii="仿宋" w:hAnsi="仿宋" w:eastAsia="仿宋"/>
          <w:sz w:val="28"/>
        </w:rPr>
        <w:t>16.1合同生效</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w:t>
      </w:r>
      <w:bookmarkEnd w:id="77"/>
      <w:bookmarkEnd w:id="78"/>
      <w:r>
        <w:rPr>
          <w:rFonts w:hint="eastAsia" w:ascii="仿宋" w:hAnsi="仿宋" w:eastAsia="仿宋"/>
          <w:sz w:val="28"/>
        </w:rPr>
        <w:t>用电人受电装置已验收合格，业务相关费用已结清且本合同和有关协议均已签订后，供电人应即依本合同向用电人供电。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（2）本合同经双方签署并加盖公章或合同专用章后成立。合同有效期为</w:t>
      </w:r>
      <w:r>
        <w:rPr>
          <w:rFonts w:hint="eastAsia" w:ascii="仿宋" w:hAnsi="仿宋" w:eastAsia="仿宋"/>
          <w:sz w:val="28"/>
          <w:u w:val="single"/>
        </w:rPr>
        <w:t xml:space="preserve">  </w:t>
      </w:r>
      <w:r>
        <w:rPr>
          <w:rFonts w:hint="eastAsia" w:ascii="仿宋" w:hAnsi="仿宋" w:eastAsia="仿宋"/>
          <w:sz w:val="28"/>
          <w:u w:val="single"/>
          <w:lang w:eastAsia="zh-CN"/>
        </w:rPr>
        <w:t>十</w:t>
      </w:r>
      <w:r>
        <w:rPr>
          <w:rFonts w:hint="eastAsia" w:ascii="仿宋" w:hAnsi="仿宋" w:eastAsia="仿宋"/>
          <w:sz w:val="28"/>
          <w:u w:val="single"/>
        </w:rPr>
        <w:t xml:space="preserve">  </w:t>
      </w:r>
      <w:r>
        <w:rPr>
          <w:rFonts w:hint="eastAsia" w:ascii="仿宋" w:hAnsi="仿宋" w:eastAsia="仿宋"/>
          <w:sz w:val="28"/>
        </w:rPr>
        <w:t>年，自</w:t>
      </w:r>
      <w:r>
        <w:rPr>
          <w:rFonts w:hint="eastAsia" w:ascii="仿宋" w:hAnsi="仿宋" w:eastAsia="仿宋"/>
          <w:sz w:val="28"/>
          <w:u w:val="single"/>
        </w:rPr>
        <w:t xml:space="preserve">         </w:t>
      </w:r>
      <w:r>
        <w:rPr>
          <w:rFonts w:hint="eastAsia" w:ascii="仿宋" w:hAnsi="仿宋" w:eastAsia="仿宋"/>
          <w:sz w:val="28"/>
        </w:rPr>
        <w:t>起至</w:t>
      </w:r>
      <w:r>
        <w:rPr>
          <w:rFonts w:hint="eastAsia" w:ascii="仿宋" w:hAnsi="仿宋" w:eastAsia="仿宋"/>
          <w:sz w:val="28"/>
          <w:u w:val="single"/>
        </w:rPr>
        <w:t xml:space="preserve">         </w:t>
      </w:r>
      <w:r>
        <w:rPr>
          <w:rFonts w:hint="eastAsia" w:ascii="仿宋" w:hAnsi="仿宋" w:eastAsia="仿宋"/>
          <w:sz w:val="28"/>
        </w:rPr>
        <w:t>止。合同有效期届满，双方均未提出书面异议的，继续履行，有效期按本合同有效期限重复续展。</w:t>
      </w:r>
      <w:r>
        <w:rPr>
          <w:rFonts w:hint="eastAsia" w:ascii="仿宋_GB2312" w:hAnsi="仿宋_GB2312" w:eastAsia="仿宋_GB2312"/>
          <w:sz w:val="28"/>
          <w:highlight w:val="yellow"/>
          <w:shd w:val="clear" w:color="auto" w:fill="FFFF00"/>
          <w:lang w:eastAsia="zh-CN"/>
        </w:rPr>
        <w:t>最长</w:t>
      </w:r>
      <w:r>
        <w:rPr>
          <w:rFonts w:hint="eastAsia" w:ascii="仿宋_GB2312" w:hAnsi="仿宋_GB2312" w:eastAsia="仿宋_GB2312"/>
          <w:sz w:val="28"/>
          <w:highlight w:val="yellow"/>
          <w:shd w:val="clear" w:color="auto" w:fill="FFFF00"/>
          <w:lang w:val="en-US" w:eastAsia="zh-CN"/>
        </w:rPr>
        <w:t>10</w:t>
      </w:r>
      <w:r>
        <w:rPr>
          <w:rFonts w:hint="eastAsia" w:ascii="仿宋_GB2312" w:hAnsi="仿宋_GB2312" w:eastAsia="仿宋_GB2312"/>
          <w:sz w:val="28"/>
          <w:highlight w:val="yellow"/>
          <w:shd w:val="clear" w:color="auto" w:fill="FFFF00"/>
        </w:rPr>
        <w:t>年</w:t>
      </w:r>
      <w:r>
        <w:rPr>
          <w:rFonts w:hint="eastAsia" w:ascii="仿宋_GB2312" w:hAnsi="仿宋_GB2312" w:eastAsia="仿宋_GB2312"/>
          <w:sz w:val="28"/>
          <w:highlight w:val="yellow"/>
          <w:shd w:val="clear" w:color="auto" w:fill="FFFF00"/>
          <w:lang w:eastAsia="zh-CN"/>
        </w:rPr>
        <w:t>，终止日比起始日少一天</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（3）对合同有异议的，应在本合同约定的期限或续展期限届满日之前30天向对方提出书面意见，经协商，双方达成一致，重新签订供用电合同；双方不能达成一致，</w:t>
      </w:r>
      <w:r>
        <w:rPr>
          <w:rFonts w:hint="eastAsia" w:ascii="仿宋" w:hAnsi="仿宋" w:eastAsia="仿宋"/>
          <w:color w:val="000000"/>
          <w:sz w:val="28"/>
        </w:rPr>
        <w:t>在</w:t>
      </w:r>
      <w:r>
        <w:rPr>
          <w:rFonts w:hint="eastAsia" w:ascii="仿宋" w:hAnsi="仿宋" w:eastAsia="仿宋"/>
          <w:sz w:val="28"/>
        </w:rPr>
        <w:t>双方对供用电事宜达成新的书面协议前，本合同继续有效。</w:t>
      </w:r>
    </w:p>
    <w:p>
      <w:pPr>
        <w:snapToGrid w:val="0"/>
        <w:spacing w:line="480" w:lineRule="exact"/>
        <w:ind w:firstLine="560" w:firstLineChars="200"/>
        <w:rPr>
          <w:rFonts w:hint="eastAsia" w:ascii="仿宋" w:hAnsi="仿宋" w:eastAsia="仿宋"/>
          <w:sz w:val="28"/>
        </w:rPr>
      </w:pPr>
      <w:bookmarkStart w:id="79" w:name="_Toc251681650"/>
      <w:bookmarkStart w:id="80" w:name="_Toc251681075"/>
      <w:r>
        <w:rPr>
          <w:rFonts w:hint="eastAsia" w:ascii="仿宋" w:hAnsi="仿宋" w:eastAsia="仿宋"/>
          <w:sz w:val="28"/>
        </w:rPr>
        <w:t>16.2合同转让</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未经对方同意，任何一方不得将本合同项下的权利和义务转让给第三方。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16.3合同变更</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合同如需变更，双方协商一致后签订《合同事项变更确认书》（附件三）。</w:t>
      </w:r>
      <w:bookmarkEnd w:id="79"/>
      <w:bookmarkEnd w:id="80"/>
    </w:p>
    <w:p>
      <w:pPr>
        <w:pStyle w:val="2"/>
        <w:spacing w:line="480" w:lineRule="exact"/>
        <w:ind w:firstLine="560"/>
        <w:rPr>
          <w:rFonts w:hint="eastAsia" w:ascii="黑体" w:hAnsi="方正仿宋_GBK" w:eastAsia="黑体"/>
          <w:b w:val="0"/>
          <w:sz w:val="28"/>
        </w:rPr>
      </w:pPr>
      <w:bookmarkStart w:id="81" w:name="_Toc252795122"/>
      <w:bookmarkStart w:id="82" w:name="_Toc252599143"/>
      <w:bookmarkStart w:id="83" w:name="_Toc468783718"/>
      <w:r>
        <w:rPr>
          <w:rFonts w:hint="eastAsia" w:ascii="黑体" w:hAnsi="方正仿宋_GBK" w:eastAsia="黑体"/>
          <w:b w:val="0"/>
          <w:sz w:val="28"/>
        </w:rPr>
        <w:t>17.争议解决</w:t>
      </w:r>
      <w:bookmarkEnd w:id="81"/>
      <w:bookmarkEnd w:id="82"/>
      <w:bookmarkEnd w:id="83"/>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17.1双方发生争议时，应本着诚实信用原则，通过友好协商解决。</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17.2若争议经协商仍无法解决的，按以下第</w:t>
      </w:r>
      <w:r>
        <w:rPr>
          <w:rFonts w:hint="eastAsia" w:ascii="仿宋" w:hAnsi="仿宋" w:eastAsia="仿宋"/>
          <w:sz w:val="28"/>
          <w:u w:val="single"/>
        </w:rPr>
        <w:t xml:space="preserve">  </w:t>
      </w:r>
      <w:r>
        <w:rPr>
          <w:rFonts w:hint="eastAsia" w:ascii="仿宋" w:hAnsi="仿宋" w:eastAsia="仿宋"/>
          <w:sz w:val="28"/>
          <w:u w:val="single"/>
          <w:lang w:val="en-US" w:eastAsia="zh-CN"/>
        </w:rPr>
        <w:t>(2)</w:t>
      </w:r>
      <w:r>
        <w:rPr>
          <w:rFonts w:hint="eastAsia" w:ascii="仿宋" w:hAnsi="仿宋" w:eastAsia="仿宋"/>
          <w:sz w:val="28"/>
          <w:u w:val="single"/>
        </w:rPr>
        <w:t xml:space="preserve">    </w:t>
      </w:r>
      <w:r>
        <w:rPr>
          <w:rFonts w:hint="eastAsia" w:ascii="仿宋" w:hAnsi="仿宋" w:eastAsia="仿宋"/>
          <w:sz w:val="28"/>
        </w:rPr>
        <w:t>种方式处理：</w:t>
      </w:r>
    </w:p>
    <w:p>
      <w:pPr>
        <w:adjustRightInd w:val="0"/>
        <w:snapToGrid w:val="0"/>
        <w:spacing w:line="480" w:lineRule="exact"/>
        <w:ind w:firstLine="560" w:firstLineChars="200"/>
        <w:rPr>
          <w:rFonts w:hint="eastAsia" w:ascii="仿宋" w:hAnsi="仿宋" w:eastAsia="仿宋"/>
          <w:sz w:val="28"/>
        </w:rPr>
      </w:pPr>
      <w:r>
        <w:rPr>
          <w:rFonts w:hint="eastAsia" w:ascii="仿宋" w:hAnsi="仿宋" w:eastAsia="仿宋"/>
          <w:sz w:val="28"/>
        </w:rPr>
        <w:t>（1）仲裁：提交</w:t>
      </w:r>
      <w:r>
        <w:rPr>
          <w:rFonts w:hint="eastAsia" w:ascii="仿宋" w:hAnsi="仿宋" w:eastAsia="仿宋"/>
          <w:sz w:val="28"/>
          <w:u w:val="single"/>
        </w:rPr>
        <w:t xml:space="preserve">   </w:t>
      </w:r>
      <w:r>
        <w:rPr>
          <w:rFonts w:hint="eastAsia" w:ascii="仿宋" w:hAnsi="仿宋" w:eastAsia="仿宋"/>
          <w:sz w:val="28"/>
          <w:u w:val="single"/>
          <w:lang w:val="en-US" w:eastAsia="zh-CN"/>
        </w:rPr>
        <w:t>/</w:t>
      </w:r>
      <w:r>
        <w:rPr>
          <w:rFonts w:hint="eastAsia" w:ascii="仿宋" w:hAnsi="仿宋" w:eastAsia="仿宋"/>
          <w:sz w:val="28"/>
          <w:u w:val="single"/>
        </w:rPr>
        <w:t xml:space="preserve">   </w:t>
      </w:r>
      <w:r>
        <w:rPr>
          <w:rFonts w:hint="eastAsia" w:ascii="仿宋" w:hAnsi="仿宋" w:eastAsia="仿宋"/>
          <w:sz w:val="28"/>
        </w:rPr>
        <w:t>仲裁，按照申请仲裁时该仲裁机构有效的仲裁规则进行仲裁。仲裁裁决是终局的，对双方均有约束力；</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（2）诉讼：向</w:t>
      </w:r>
      <w:r>
        <w:rPr>
          <w:rFonts w:hint="eastAsia" w:ascii="仿宋" w:hAnsi="仿宋" w:eastAsia="仿宋"/>
          <w:sz w:val="28"/>
          <w:u w:val="single"/>
        </w:rPr>
        <w:t xml:space="preserve">   </w:t>
      </w:r>
      <w:r>
        <w:rPr>
          <w:rFonts w:hint="eastAsia" w:ascii="仿宋" w:hAnsi="仿宋" w:eastAsia="仿宋"/>
          <w:sz w:val="28"/>
          <w:u w:val="single"/>
          <w:lang w:eastAsia="zh-CN"/>
        </w:rPr>
        <w:t>供电人</w:t>
      </w:r>
      <w:r>
        <w:rPr>
          <w:rFonts w:hint="eastAsia" w:ascii="仿宋" w:hAnsi="仿宋" w:eastAsia="仿宋"/>
          <w:sz w:val="28"/>
          <w:u w:val="single"/>
        </w:rPr>
        <w:t xml:space="preserve">  </w:t>
      </w:r>
      <w:r>
        <w:rPr>
          <w:rFonts w:hint="eastAsia" w:ascii="仿宋" w:hAnsi="仿宋" w:eastAsia="仿宋"/>
          <w:sz w:val="28"/>
        </w:rPr>
        <w:t>所在地人民法院提起诉讼。</w:t>
      </w:r>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sz w:val="28"/>
          <w:highlight w:val="yellow"/>
        </w:rPr>
        <w:t>按实际填写</w:t>
      </w:r>
      <w:r>
        <w:rPr>
          <w:rFonts w:hint="eastAsia" w:ascii="仿宋_GB2312" w:hAnsi="仿宋_GB2312" w:eastAsia="仿宋_GB2312"/>
          <w:sz w:val="28"/>
          <w:highlight w:val="yellow"/>
          <w:lang w:eastAsia="zh-CN"/>
        </w:rPr>
        <w:t xml:space="preserve"> ，</w:t>
      </w:r>
      <w:r>
        <w:rPr>
          <w:rFonts w:hint="eastAsia" w:ascii="仿宋_GB2312" w:hAnsi="仿宋_GB2312" w:eastAsia="仿宋_GB2312"/>
          <w:sz w:val="28"/>
          <w:highlight w:val="yellow"/>
        </w:rPr>
        <w:t>建议尽量选择</w:t>
      </w:r>
      <w:r>
        <w:rPr>
          <w:rFonts w:hint="eastAsia" w:ascii="仿宋_GB2312" w:hAnsi="仿宋_GB2312" w:eastAsia="仿宋_GB2312"/>
          <w:sz w:val="28"/>
          <w:highlight w:val="yellow"/>
          <w:lang w:eastAsia="zh-CN"/>
        </w:rPr>
        <w:t>供电人</w:t>
      </w:r>
      <w:r>
        <w:rPr>
          <w:rFonts w:hint="eastAsia" w:ascii="仿宋_GB2312" w:hAnsi="仿宋_GB2312" w:eastAsia="仿宋_GB2312"/>
          <w:sz w:val="28"/>
          <w:highlight w:val="yellow"/>
        </w:rPr>
        <w:t>所在地法院或仲裁委员会作为争议解决机构</w:t>
      </w:r>
      <w:r>
        <w:rPr>
          <w:rFonts w:hint="eastAsia" w:ascii="仿宋_GB2312" w:hAnsi="仿宋_GB2312" w:eastAsia="仿宋_GB2312"/>
          <w:sz w:val="28"/>
          <w:highlight w:val="yellow"/>
          <w:lang w:eastAsia="zh-CN"/>
        </w:rPr>
        <w:t>，</w:t>
      </w:r>
      <w:r>
        <w:rPr>
          <w:rFonts w:hint="eastAsia" w:ascii="仿宋_GB2312" w:hAnsi="仿宋_GB2312" w:eastAsia="仿宋_GB2312"/>
          <w:sz w:val="28"/>
          <w:highlight w:val="yellow"/>
        </w:rPr>
        <w:t>如选择仲裁作为争议解决方式时，应核实所填写的仲裁委员会是否存在及其名称是否准确。</w:t>
      </w:r>
      <w:r>
        <w:rPr>
          <w:rFonts w:hint="eastAsia" w:ascii="仿宋_GB2312" w:hAnsi="仿宋_GB2312" w:eastAsia="仿宋_GB2312"/>
          <w:color w:val="auto"/>
          <w:sz w:val="28"/>
          <w:highlight w:val="yellow"/>
        </w:rPr>
        <w:t>建议选择诉讼作为争议解决方式</w:t>
      </w:r>
      <w:r>
        <w:rPr>
          <w:rFonts w:hint="eastAsia" w:ascii="仿宋_GB2312" w:hAnsi="仿宋_GB2312" w:eastAsia="仿宋_GB2312"/>
          <w:color w:val="auto"/>
          <w:sz w:val="28"/>
          <w:highlight w:val="yellow"/>
          <w:lang w:eastAsia="zh-CN"/>
        </w:rPr>
        <w:t>。</w:t>
      </w:r>
    </w:p>
    <w:p>
      <w:pPr>
        <w:snapToGrid w:val="0"/>
        <w:spacing w:line="480" w:lineRule="exact"/>
        <w:ind w:firstLine="560" w:firstLineChars="200"/>
        <w:rPr>
          <w:rFonts w:ascii="仿宋_GB2312" w:hAnsi="方正仿宋_GBK" w:eastAsia="仿宋_GB2312"/>
          <w:sz w:val="28"/>
        </w:rPr>
      </w:pPr>
      <w:r>
        <w:rPr>
          <w:rFonts w:hint="eastAsia" w:ascii="仿宋" w:hAnsi="仿宋" w:eastAsia="仿宋"/>
          <w:sz w:val="28"/>
        </w:rPr>
        <w:t>17.3在争议解决期间，合同中未涉及争议部分的条款仍须</w:t>
      </w:r>
      <w:r>
        <w:rPr>
          <w:rFonts w:hint="eastAsia" w:ascii="仿宋_GB2312" w:hAnsi="方正仿宋_GBK" w:eastAsia="仿宋_GB2312"/>
          <w:sz w:val="28"/>
        </w:rPr>
        <w:t>履行。</w:t>
      </w:r>
    </w:p>
    <w:p>
      <w:pPr>
        <w:pStyle w:val="2"/>
        <w:ind w:firstLine="562"/>
        <w:rPr>
          <w:rFonts w:hint="eastAsia" w:ascii="黑体" w:hAnsi="方正仿宋_GBK" w:eastAsia="黑体"/>
          <w:color w:val="000000"/>
          <w:sz w:val="28"/>
        </w:rPr>
      </w:pPr>
      <w:bookmarkStart w:id="84" w:name="_Toc252599788"/>
      <w:bookmarkStart w:id="85" w:name="_Toc252973867"/>
      <w:bookmarkStart w:id="86" w:name="_Toc8115"/>
      <w:bookmarkStart w:id="87" w:name="_Toc370652381"/>
      <w:r>
        <w:rPr>
          <w:rFonts w:hint="eastAsia" w:ascii="黑体" w:hAnsi="方正仿宋_GBK" w:eastAsia="黑体"/>
          <w:sz w:val="28"/>
        </w:rPr>
        <w:t>18.通讯</w:t>
      </w:r>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18</w:t>
      </w:r>
      <w:r>
        <w:rPr>
          <w:rFonts w:ascii="仿宋" w:hAnsi="仿宋" w:eastAsia="仿宋"/>
          <w:color w:val="000000"/>
          <w:sz w:val="28"/>
        </w:rPr>
        <w:t>.1</w:t>
      </w:r>
      <w:r>
        <w:rPr>
          <w:rFonts w:hint="eastAsia" w:ascii="仿宋" w:hAnsi="仿宋" w:eastAsia="仿宋"/>
          <w:color w:val="000000"/>
          <w:sz w:val="28"/>
        </w:rPr>
        <w:t>供电人用电业务联系电话</w:t>
      </w:r>
      <w:r>
        <w:rPr>
          <w:rFonts w:hint="eastAsia" w:ascii="仿宋" w:hAnsi="仿宋" w:eastAsia="仿宋"/>
          <w:sz w:val="28"/>
        </w:rPr>
        <w:t>为</w:t>
      </w:r>
      <w:r>
        <w:rPr>
          <w:rFonts w:ascii="仿宋" w:hAnsi="仿宋" w:eastAsia="仿宋"/>
          <w:sz w:val="28"/>
        </w:rPr>
        <w:t xml:space="preserve">  </w:t>
      </w:r>
      <w:r>
        <w:rPr>
          <w:rFonts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ascii="仿宋" w:hAnsi="仿宋" w:eastAsia="仿宋"/>
          <w:color w:val="000000"/>
          <w:sz w:val="28"/>
        </w:rPr>
        <w:t>18.2</w:t>
      </w:r>
      <w:r>
        <w:rPr>
          <w:rFonts w:hint="eastAsia" w:ascii="仿宋" w:hAnsi="仿宋" w:eastAsia="仿宋"/>
          <w:sz w:val="28"/>
        </w:rPr>
        <w:t>用电人联系电话</w:t>
      </w:r>
    </w:p>
    <w:p>
      <w:pPr>
        <w:numPr>
          <w:ilvl w:val="0"/>
          <w:numId w:val="3"/>
        </w:numPr>
        <w:snapToGrid w:val="0"/>
        <w:spacing w:line="480" w:lineRule="exact"/>
        <w:ind w:firstLine="560" w:firstLineChars="200"/>
        <w:rPr>
          <w:rFonts w:hint="eastAsia" w:ascii="仿宋" w:hAnsi="仿宋" w:eastAsia="仿宋"/>
          <w:sz w:val="28"/>
        </w:rPr>
      </w:pPr>
      <w:r>
        <w:rPr>
          <w:rFonts w:hint="eastAsia" w:ascii="仿宋" w:hAnsi="仿宋" w:eastAsia="仿宋"/>
          <w:sz w:val="28"/>
        </w:rPr>
        <w:t>用电业务联系人</w:t>
      </w:r>
      <w:r>
        <w:rPr>
          <w:rFonts w:hint="eastAsia" w:ascii="仿宋" w:hAnsi="仿宋" w:eastAsia="仿宋"/>
          <w:sz w:val="28"/>
          <w:u w:val="single"/>
        </w:rPr>
        <w:t xml:space="preserve">         </w:t>
      </w:r>
      <w:r>
        <w:rPr>
          <w:rFonts w:hint="eastAsia" w:ascii="仿宋" w:hAnsi="仿宋" w:eastAsia="仿宋"/>
          <w:sz w:val="28"/>
        </w:rPr>
        <w:t>，电话</w:t>
      </w:r>
      <w:r>
        <w:rPr>
          <w:rFonts w:hint="eastAsia" w:ascii="仿宋" w:hAnsi="仿宋" w:eastAsia="仿宋"/>
          <w:sz w:val="28"/>
          <w:u w:val="single"/>
        </w:rPr>
        <w:t xml:space="preserve">        </w:t>
      </w:r>
      <w:r>
        <w:rPr>
          <w:rFonts w:hint="eastAsia" w:ascii="仿宋" w:hAnsi="仿宋" w:eastAsia="仿宋"/>
          <w:sz w:val="28"/>
        </w:rPr>
        <w:t>，调度电话</w:t>
      </w:r>
      <w:r>
        <w:rPr>
          <w:rFonts w:hint="eastAsia" w:ascii="仿宋" w:hAnsi="仿宋" w:eastAsia="仿宋"/>
          <w:sz w:val="28"/>
          <w:u w:val="single"/>
        </w:rPr>
        <w:t xml:space="preserve">         </w:t>
      </w:r>
      <w:r>
        <w:rPr>
          <w:rFonts w:hint="eastAsia" w:ascii="仿宋" w:hAnsi="仿宋" w:eastAsia="仿宋"/>
          <w:sz w:val="28"/>
        </w:rPr>
        <w:t>；</w:t>
      </w:r>
    </w:p>
    <w:p>
      <w:pPr>
        <w:numPr>
          <w:ilvl w:val="0"/>
          <w:numId w:val="3"/>
        </w:numPr>
        <w:snapToGrid w:val="0"/>
        <w:spacing w:line="480" w:lineRule="exact"/>
        <w:ind w:firstLine="560" w:firstLineChars="200"/>
        <w:rPr>
          <w:rFonts w:hint="eastAsia" w:ascii="仿宋" w:hAnsi="仿宋" w:eastAsia="仿宋"/>
          <w:sz w:val="28"/>
        </w:rPr>
      </w:pPr>
      <w:r>
        <w:rPr>
          <w:rFonts w:hint="eastAsia" w:ascii="仿宋" w:hAnsi="仿宋" w:eastAsia="仿宋"/>
          <w:sz w:val="28"/>
        </w:rPr>
        <w:t>电气联系人</w:t>
      </w:r>
      <w:r>
        <w:rPr>
          <w:rFonts w:hint="eastAsia" w:ascii="仿宋" w:hAnsi="仿宋" w:eastAsia="仿宋"/>
          <w:sz w:val="28"/>
          <w:u w:val="single"/>
        </w:rPr>
        <w:t xml:space="preserve">          </w:t>
      </w:r>
      <w:r>
        <w:rPr>
          <w:rFonts w:hint="eastAsia" w:ascii="仿宋" w:hAnsi="仿宋" w:eastAsia="仿宋"/>
          <w:sz w:val="28"/>
        </w:rPr>
        <w:t>，电话</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_GB2312" w:hAnsi="宋体" w:eastAsia="仿宋_GB2312"/>
          <w:sz w:val="28"/>
        </w:rPr>
      </w:pPr>
      <w:r>
        <w:rPr>
          <w:rFonts w:hint="eastAsia" w:ascii="仿宋" w:hAnsi="仿宋" w:eastAsia="仿宋"/>
          <w:sz w:val="28"/>
        </w:rPr>
        <w:t>（3）财务联系人</w:t>
      </w:r>
      <w:r>
        <w:rPr>
          <w:rFonts w:hint="eastAsia" w:ascii="仿宋" w:hAnsi="仿宋" w:eastAsia="仿宋"/>
          <w:sz w:val="28"/>
          <w:u w:val="single"/>
        </w:rPr>
        <w:t xml:space="preserve">          </w:t>
      </w:r>
      <w:r>
        <w:rPr>
          <w:rFonts w:hint="eastAsia" w:ascii="仿宋" w:hAnsi="仿宋" w:eastAsia="仿宋"/>
          <w:sz w:val="28"/>
        </w:rPr>
        <w:t>，电话</w:t>
      </w:r>
      <w:r>
        <w:rPr>
          <w:rFonts w:hint="eastAsia" w:ascii="仿宋" w:hAnsi="仿宋" w:eastAsia="仿宋"/>
          <w:sz w:val="28"/>
          <w:u w:val="single"/>
        </w:rPr>
        <w:t xml:space="preserve">               </w:t>
      </w:r>
      <w:r>
        <w:rPr>
          <w:rFonts w:hint="eastAsia" w:ascii="仿宋_GB2312" w:hAnsi="宋体" w:eastAsia="仿宋_GB2312"/>
          <w:sz w:val="28"/>
        </w:rPr>
        <w:t>。</w:t>
      </w:r>
    </w:p>
    <w:bookmarkEnd w:id="84"/>
    <w:bookmarkEnd w:id="85"/>
    <w:bookmarkEnd w:id="86"/>
    <w:bookmarkEnd w:id="87"/>
    <w:p>
      <w:pPr>
        <w:snapToGrid w:val="0"/>
        <w:spacing w:line="480" w:lineRule="exact"/>
        <w:ind w:firstLine="560" w:firstLineChars="200"/>
        <w:rPr>
          <w:rFonts w:hint="eastAsia" w:ascii="仿宋_GB2312" w:hAnsi="方正仿宋_GBK" w:eastAsia="仿宋_GB2312"/>
          <w:sz w:val="28"/>
        </w:rPr>
      </w:pPr>
      <w:r>
        <w:rPr>
          <w:rFonts w:hint="eastAsia" w:ascii="仿宋_GB2312" w:hAnsi="方正仿宋_GBK" w:eastAsia="仿宋_GB2312"/>
          <w:sz w:val="28"/>
        </w:rPr>
        <w:t>联系方式</w:t>
      </w:r>
      <w:r>
        <w:rPr>
          <w:rFonts w:hint="eastAsia" w:ascii="仿宋_GB2312" w:hAnsi="方正仿宋_GBK" w:eastAsia="仿宋_GB2312"/>
          <w:sz w:val="28"/>
          <w:u w:val="single"/>
        </w:rPr>
        <w:t xml:space="preserve">                                  </w:t>
      </w:r>
      <w:r>
        <w:rPr>
          <w:rFonts w:hint="eastAsia" w:ascii="仿宋_GB2312" w:hAnsi="方正仿宋_GBK" w:eastAsia="仿宋_GB2312"/>
          <w:sz w:val="28"/>
        </w:rPr>
        <w:t>。</w:t>
      </w:r>
    </w:p>
    <w:p>
      <w:pPr>
        <w:snapToGrid w:val="0"/>
        <w:spacing w:line="480" w:lineRule="exact"/>
        <w:ind w:firstLine="560" w:firstLineChars="200"/>
        <w:rPr>
          <w:rFonts w:hint="eastAsia" w:ascii="仿宋_GB2312" w:hAnsi="方正仿宋_GBK" w:eastAsia="仿宋_GB2312"/>
          <w:sz w:val="28"/>
        </w:rPr>
      </w:pPr>
      <w:r>
        <w:rPr>
          <w:rFonts w:hint="eastAsia" w:ascii="仿宋_GB2312" w:hAnsi="仿宋_GB2312" w:eastAsia="仿宋_GB2312"/>
          <w:sz w:val="28"/>
          <w:highlight w:val="yellow"/>
          <w:shd w:val="clear" w:color="auto" w:fill="FFFF00"/>
        </w:rPr>
        <w:t>按实际填写</w:t>
      </w:r>
    </w:p>
    <w:p>
      <w:pPr>
        <w:pStyle w:val="2"/>
        <w:ind w:firstLine="562"/>
        <w:rPr>
          <w:rFonts w:hint="eastAsia" w:ascii="黑体" w:hAnsi="方正仿宋_GBK" w:eastAsia="黑体"/>
          <w:sz w:val="28"/>
        </w:rPr>
      </w:pPr>
      <w:bookmarkStart w:id="88" w:name="_Toc252795123"/>
      <w:bookmarkStart w:id="89" w:name="_Toc252599145"/>
      <w:bookmarkStart w:id="90" w:name="_Toc468783719"/>
      <w:r>
        <w:rPr>
          <w:rFonts w:hint="eastAsia" w:ascii="黑体" w:hAnsi="方正仿宋_GBK" w:eastAsia="黑体"/>
          <w:sz w:val="28"/>
        </w:rPr>
        <w:t>19.附则</w:t>
      </w:r>
      <w:bookmarkEnd w:id="88"/>
      <w:bookmarkEnd w:id="89"/>
      <w:bookmarkEnd w:id="90"/>
    </w:p>
    <w:p>
      <w:pPr>
        <w:snapToGrid w:val="0"/>
        <w:spacing w:line="480" w:lineRule="exact"/>
        <w:ind w:firstLine="560" w:firstLineChars="200"/>
        <w:rPr>
          <w:rFonts w:hint="eastAsia" w:ascii="仿宋" w:hAnsi="仿宋" w:eastAsia="仿宋"/>
          <w:sz w:val="28"/>
        </w:rPr>
      </w:pPr>
      <w:r>
        <w:rPr>
          <w:rFonts w:ascii="仿宋" w:hAnsi="仿宋" w:eastAsia="仿宋"/>
          <w:sz w:val="28"/>
        </w:rPr>
        <w:t>19</w:t>
      </w:r>
      <w:r>
        <w:rPr>
          <w:rFonts w:hint="eastAsia" w:ascii="仿宋" w:hAnsi="仿宋" w:eastAsia="仿宋"/>
          <w:sz w:val="28"/>
        </w:rPr>
        <w:t>.1本合同正本一式</w:t>
      </w:r>
      <w:r>
        <w:rPr>
          <w:rFonts w:hint="eastAsia" w:ascii="仿宋" w:hAnsi="仿宋" w:eastAsia="仿宋"/>
          <w:sz w:val="28"/>
          <w:u w:val="single"/>
        </w:rPr>
        <w:t xml:space="preserve">  </w:t>
      </w:r>
      <w:r>
        <w:rPr>
          <w:rFonts w:hint="eastAsia" w:ascii="仿宋" w:hAnsi="仿宋" w:eastAsia="仿宋"/>
          <w:sz w:val="28"/>
        </w:rPr>
        <w:t>份，供电人执</w:t>
      </w:r>
      <w:r>
        <w:rPr>
          <w:rFonts w:hint="eastAsia" w:ascii="仿宋" w:hAnsi="仿宋" w:eastAsia="仿宋"/>
          <w:sz w:val="28"/>
          <w:u w:val="single"/>
        </w:rPr>
        <w:t xml:space="preserve">  </w:t>
      </w:r>
      <w:r>
        <w:rPr>
          <w:rFonts w:hint="eastAsia" w:ascii="仿宋" w:hAnsi="仿宋" w:eastAsia="仿宋"/>
          <w:sz w:val="28"/>
        </w:rPr>
        <w:t>份，用电人执</w:t>
      </w:r>
      <w:r>
        <w:rPr>
          <w:rFonts w:hint="eastAsia" w:ascii="仿宋" w:hAnsi="仿宋" w:eastAsia="仿宋"/>
          <w:sz w:val="28"/>
          <w:u w:val="single"/>
        </w:rPr>
        <w:t xml:space="preserve">  </w:t>
      </w:r>
      <w:r>
        <w:rPr>
          <w:rFonts w:hint="eastAsia" w:ascii="仿宋" w:hAnsi="仿宋" w:eastAsia="仿宋"/>
          <w:sz w:val="28"/>
        </w:rPr>
        <w:t>份，具有同等法律效力。</w:t>
      </w:r>
    </w:p>
    <w:p>
      <w:pPr>
        <w:snapToGrid w:val="0"/>
        <w:spacing w:line="480" w:lineRule="exact"/>
        <w:ind w:firstLine="560" w:firstLineChars="200"/>
        <w:rPr>
          <w:rFonts w:hint="eastAsia" w:ascii="仿宋" w:hAnsi="仿宋" w:eastAsia="仿宋"/>
          <w:sz w:val="28"/>
        </w:rPr>
      </w:pPr>
      <w:r>
        <w:rPr>
          <w:rFonts w:hint="eastAsia" w:ascii="仿宋_GB2312" w:hAnsi="仿宋_GB2312" w:eastAsia="仿宋_GB2312"/>
          <w:sz w:val="28"/>
          <w:highlight w:val="yellow"/>
          <w:shd w:val="clear" w:color="auto" w:fill="FFFF00"/>
          <w:lang w:eastAsia="zh-CN"/>
        </w:rPr>
        <w:t>用</w:t>
      </w:r>
      <w:r>
        <w:rPr>
          <w:rFonts w:hint="eastAsia" w:ascii="仿宋_GB2312" w:hAnsi="仿宋_GB2312" w:eastAsia="仿宋_GB2312"/>
          <w:sz w:val="28"/>
          <w:highlight w:val="yellow"/>
          <w:shd w:val="clear" w:color="auto" w:fill="FFFF00"/>
        </w:rPr>
        <w:t>大写</w:t>
      </w:r>
      <w:r>
        <w:rPr>
          <w:rFonts w:hint="eastAsia" w:ascii="仿宋_GB2312" w:hAnsi="仿宋_GB2312" w:eastAsia="仿宋_GB2312"/>
          <w:sz w:val="28"/>
          <w:highlight w:val="yellow"/>
          <w:shd w:val="clear" w:color="auto" w:fill="FFFF00"/>
          <w:lang w:eastAsia="zh-CN"/>
        </w:rPr>
        <w:t>数字</w:t>
      </w:r>
      <w:r>
        <w:rPr>
          <w:rFonts w:hint="eastAsia" w:ascii="仿宋_GB2312" w:hAnsi="仿宋_GB2312" w:eastAsia="仿宋_GB2312"/>
          <w:sz w:val="28"/>
          <w:highlight w:val="yellow"/>
          <w:shd w:val="clear" w:color="auto" w:fill="FFFF00"/>
        </w:rPr>
        <w:t>填写</w:t>
      </w:r>
      <w:r>
        <w:rPr>
          <w:rFonts w:hint="eastAsia" w:ascii="仿宋_GB2312" w:hAnsi="仿宋_GB2312" w:eastAsia="仿宋_GB2312"/>
          <w:sz w:val="28"/>
          <w:highlight w:val="yellow"/>
          <w:shd w:val="clear" w:color="auto" w:fill="FFFF00"/>
          <w:lang w:eastAsia="zh-CN"/>
        </w:rPr>
        <w:t>，如“贰”、“肆”</w:t>
      </w:r>
      <w:r>
        <w:rPr>
          <w:rFonts w:hint="eastAsia" w:ascii="仿宋_GB2312" w:hAnsi="仿宋_GB2312" w:eastAsia="仿宋_GB2312"/>
          <w:sz w:val="28"/>
          <w:highlight w:val="yellow"/>
          <w:shd w:val="clear" w:color="auto" w:fill="FFFF00"/>
        </w:rPr>
        <w:t>。实际有需要的，可适当增加合同份数</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合同签署前，双方按供用电业务流程所形成的申请、批复等书面资料，为合同附件，与合同正文具有同等效力。</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本合同附件包括：</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 xml:space="preserve">（1）附件1：术语定义。 </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（2）附件2：供电接线及产权分界示意图。</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（3）附件3：合同事项变更确认书。</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b/>
          <w:sz w:val="28"/>
          <w:u w:val="single"/>
        </w:rPr>
      </w:pPr>
      <w:r>
        <w:rPr>
          <w:rFonts w:ascii="仿宋" w:hAnsi="仿宋" w:eastAsia="仿宋"/>
          <w:b/>
          <w:sz w:val="28"/>
          <w:u w:val="single"/>
        </w:rPr>
        <w:t>19</w:t>
      </w:r>
      <w:r>
        <w:rPr>
          <w:rFonts w:hint="eastAsia" w:ascii="仿宋" w:hAnsi="仿宋" w:eastAsia="仿宋"/>
          <w:b/>
          <w:sz w:val="28"/>
          <w:u w:val="single"/>
        </w:rPr>
        <w:t>.2双方是在完全清楚、自愿的基础上签订本合同。</w:t>
      </w:r>
    </w:p>
    <w:p>
      <w:pPr>
        <w:pStyle w:val="2"/>
        <w:ind w:firstLine="562"/>
        <w:rPr>
          <w:rFonts w:hint="eastAsia" w:ascii="黑体" w:hAnsi="方正仿宋_GBK" w:eastAsia="黑体"/>
          <w:sz w:val="28"/>
        </w:rPr>
      </w:pPr>
      <w:bookmarkStart w:id="91" w:name="_Toc252599146"/>
      <w:bookmarkStart w:id="92" w:name="_Toc252795124"/>
      <w:bookmarkStart w:id="93" w:name="_Toc468783720"/>
      <w:r>
        <w:rPr>
          <w:rFonts w:hint="eastAsia" w:ascii="黑体" w:hAnsi="方正仿宋_GBK" w:eastAsia="黑体"/>
          <w:sz w:val="28"/>
        </w:rPr>
        <w:t>20.特别约定</w:t>
      </w:r>
      <w:bookmarkEnd w:id="91"/>
      <w:bookmarkEnd w:id="92"/>
      <w:bookmarkEnd w:id="93"/>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本特别约定是合同各方经协商后对合同其他条款的修改或补充，如有不一致，以特别约定为准。</w:t>
      </w:r>
    </w:p>
    <w:p>
      <w:pPr>
        <w:snapToGrid w:val="0"/>
        <w:spacing w:line="480" w:lineRule="exact"/>
        <w:jc w:val="left"/>
        <w:rPr>
          <w:rFonts w:hint="eastAsia" w:ascii="仿宋" w:hAnsi="仿宋" w:eastAsia="仿宋"/>
          <w:sz w:val="28"/>
          <w:u w:val="single"/>
        </w:rPr>
      </w:pPr>
      <w:r>
        <w:rPr>
          <w:rFonts w:hint="eastAsia" w:ascii="仿宋" w:hAnsi="仿宋" w:eastAsia="仿宋"/>
          <w:sz w:val="28"/>
          <w:u w:val="single"/>
        </w:rPr>
        <w:t xml:space="preserve">                                                          </w:t>
      </w:r>
      <w:r>
        <w:rPr>
          <w:rFonts w:hint="eastAsia" w:ascii="仿宋" w:hAnsi="仿宋" w:eastAsia="仿宋"/>
          <w:sz w:val="28"/>
          <w:highlight w:val="yellow"/>
          <w:shd w:val="clear" w:color="auto" w:fill="FFFF00"/>
          <w:lang w:eastAsia="zh-CN"/>
        </w:rPr>
        <w:t>按实际填写，如无填写“/”</w:t>
      </w:r>
      <w:r>
        <w:rPr>
          <w:rFonts w:hint="eastAsia" w:ascii="仿宋" w:hAnsi="仿宋" w:eastAsia="仿宋"/>
          <w:sz w:val="28"/>
          <w:highlight w:val="yellow"/>
          <w:shd w:val="clear" w:color="auto" w:fill="FFFF00"/>
          <w:lang w:val="en-US" w:eastAsia="zh-CN"/>
        </w:rPr>
        <w:t>,</w:t>
      </w:r>
      <w:r>
        <w:rPr>
          <w:rFonts w:hint="eastAsia" w:ascii="仿宋" w:hAnsi="仿宋" w:eastAsia="仿宋"/>
          <w:sz w:val="28"/>
          <w:highlight w:val="yellow"/>
          <w:shd w:val="clear" w:color="auto" w:fill="FFFF00"/>
          <w:lang w:eastAsia="zh-CN"/>
        </w:rPr>
        <w:t>对本统一合同文本的任何修改或补充，均应在本条（第20条特别约定）中约定。如需修改时，应明确被修改的具体条款，示例：“将第32条修改为：……”；如需补充时，应订立补充条款，示例：“增加以下条款：……”</w:t>
      </w:r>
    </w:p>
    <w:p>
      <w:pPr>
        <w:snapToGrid w:val="0"/>
        <w:spacing w:line="480" w:lineRule="exact"/>
        <w:jc w:val="left"/>
        <w:rPr>
          <w:rFonts w:hint="eastAsia" w:ascii="仿宋" w:hAnsi="仿宋" w:eastAsia="仿宋"/>
          <w:sz w:val="28"/>
        </w:rPr>
      </w:pPr>
      <w:r>
        <w:rPr>
          <w:rFonts w:hint="eastAsia" w:ascii="仿宋" w:hAnsi="仿宋" w:eastAsia="仿宋"/>
          <w:sz w:val="28"/>
        </w:rPr>
        <w:t>（以下无正文）</w:t>
      </w:r>
    </w:p>
    <w:p>
      <w:pPr>
        <w:snapToGrid w:val="0"/>
        <w:spacing w:line="480" w:lineRule="exact"/>
        <w:jc w:val="center"/>
        <w:rPr>
          <w:rFonts w:hint="eastAsia" w:ascii="华文中宋" w:hAnsi="华文中宋" w:eastAsia="华文中宋"/>
          <w:b/>
          <w:sz w:val="32"/>
        </w:rPr>
      </w:pPr>
      <w:r>
        <w:rPr>
          <w:rFonts w:hint="eastAsia" w:ascii="仿宋_GB2312" w:hAnsi="方正仿宋_GBK" w:eastAsia="仿宋_GB2312"/>
          <w:sz w:val="28"/>
        </w:rPr>
        <w:br w:type="page"/>
      </w:r>
      <w:r>
        <w:rPr>
          <w:rFonts w:hint="eastAsia" w:ascii="华文中宋" w:hAnsi="华文中宋" w:eastAsia="华文中宋"/>
          <w:b/>
          <w:sz w:val="32"/>
        </w:rPr>
        <w:t>签 署 页</w:t>
      </w:r>
    </w:p>
    <w:p>
      <w:pPr>
        <w:snapToGrid w:val="0"/>
        <w:spacing w:line="480" w:lineRule="exact"/>
        <w:ind w:firstLine="560" w:firstLineChars="200"/>
        <w:rPr>
          <w:rFonts w:hint="eastAsia" w:ascii="仿宋_GB2312" w:hAnsi="方正仿宋_GBK" w:eastAsia="仿宋_GB2312"/>
          <w:sz w:val="28"/>
        </w:rPr>
      </w:pPr>
    </w:p>
    <w:tbl>
      <w:tblPr>
        <w:tblStyle w:val="25"/>
        <w:tblW w:w="84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34"/>
        <w:gridCol w:w="4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供电人：</w:t>
            </w:r>
          </w:p>
          <w:p>
            <w:pPr>
              <w:snapToGrid w:val="0"/>
              <w:spacing w:line="480" w:lineRule="exact"/>
              <w:rPr>
                <w:rFonts w:hint="eastAsia" w:ascii="仿宋" w:hAnsi="仿宋" w:eastAsia="仿宋"/>
                <w:sz w:val="28"/>
              </w:rPr>
            </w:pPr>
            <w:r>
              <w:rPr>
                <w:rFonts w:hint="eastAsia" w:ascii="仿宋" w:hAnsi="仿宋" w:eastAsia="仿宋"/>
                <w:sz w:val="28"/>
              </w:rPr>
              <w:t xml:space="preserve">（盖章）     </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 xml:space="preserve">用电人： </w:t>
            </w:r>
          </w:p>
          <w:p>
            <w:pPr>
              <w:snapToGrid w:val="0"/>
              <w:spacing w:line="480" w:lineRule="exact"/>
              <w:rPr>
                <w:rFonts w:hint="eastAsia" w:ascii="仿宋" w:hAnsi="仿宋" w:eastAsia="仿宋"/>
                <w:sz w:val="28"/>
              </w:rPr>
            </w:pPr>
            <w:r>
              <w:rPr>
                <w:rFonts w:hint="eastAsia" w:ascii="仿宋" w:hAnsi="仿宋" w:eastAsia="仿宋"/>
                <w:sz w:val="28"/>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4434" w:type="dxa"/>
            <w:noWrap w:val="0"/>
            <w:vAlign w:val="center"/>
          </w:tcPr>
          <w:p>
            <w:pPr>
              <w:snapToGrid w:val="0"/>
              <w:spacing w:line="480" w:lineRule="exact"/>
              <w:rPr>
                <w:rFonts w:hint="eastAsia" w:ascii="仿宋" w:hAnsi="仿宋" w:eastAsia="仿宋"/>
                <w:sz w:val="28"/>
              </w:rPr>
            </w:pPr>
          </w:p>
          <w:p>
            <w:pPr>
              <w:snapToGrid w:val="0"/>
              <w:spacing w:line="480" w:lineRule="exact"/>
              <w:rPr>
                <w:rFonts w:hint="eastAsia" w:ascii="仿宋" w:hAnsi="仿宋" w:eastAsia="仿宋"/>
                <w:sz w:val="28"/>
              </w:rPr>
            </w:pPr>
            <w:r>
              <w:rPr>
                <w:rFonts w:hint="eastAsia" w:ascii="仿宋" w:hAnsi="仿宋" w:eastAsia="仿宋"/>
                <w:sz w:val="28"/>
              </w:rPr>
              <w:t>法定代表人（负责人）或</w:t>
            </w:r>
          </w:p>
          <w:p>
            <w:pPr>
              <w:snapToGrid w:val="0"/>
              <w:spacing w:line="480" w:lineRule="exact"/>
              <w:rPr>
                <w:rFonts w:hint="eastAsia" w:ascii="仿宋" w:hAnsi="仿宋" w:eastAsia="仿宋"/>
                <w:sz w:val="28"/>
              </w:rPr>
            </w:pPr>
            <w:r>
              <w:rPr>
                <w:rFonts w:hint="eastAsia" w:ascii="仿宋" w:hAnsi="仿宋" w:eastAsia="仿宋"/>
                <w:sz w:val="28"/>
              </w:rPr>
              <w:t>授权代表（签字）：</w:t>
            </w:r>
          </w:p>
        </w:tc>
        <w:tc>
          <w:tcPr>
            <w:tcW w:w="4038" w:type="dxa"/>
            <w:noWrap w:val="0"/>
            <w:vAlign w:val="center"/>
          </w:tcPr>
          <w:p>
            <w:pPr>
              <w:snapToGrid w:val="0"/>
              <w:spacing w:line="480" w:lineRule="exact"/>
              <w:rPr>
                <w:rFonts w:hint="eastAsia" w:ascii="仿宋" w:hAnsi="仿宋" w:eastAsia="仿宋"/>
                <w:sz w:val="28"/>
              </w:rPr>
            </w:pPr>
          </w:p>
          <w:p>
            <w:pPr>
              <w:snapToGrid w:val="0"/>
              <w:spacing w:line="480" w:lineRule="exact"/>
              <w:rPr>
                <w:rFonts w:hint="eastAsia" w:ascii="仿宋" w:hAnsi="仿宋" w:eastAsia="仿宋"/>
                <w:sz w:val="28"/>
              </w:rPr>
            </w:pPr>
          </w:p>
          <w:p>
            <w:pPr>
              <w:snapToGrid w:val="0"/>
              <w:spacing w:line="480" w:lineRule="exact"/>
              <w:rPr>
                <w:rFonts w:hint="eastAsia" w:ascii="仿宋" w:hAnsi="仿宋" w:eastAsia="仿宋"/>
                <w:sz w:val="28"/>
              </w:rPr>
            </w:pPr>
          </w:p>
          <w:p>
            <w:pPr>
              <w:snapToGrid w:val="0"/>
              <w:spacing w:line="480" w:lineRule="exact"/>
              <w:rPr>
                <w:rFonts w:hint="eastAsia" w:ascii="仿宋" w:hAnsi="仿宋" w:eastAsia="仿宋"/>
                <w:sz w:val="28"/>
              </w:rPr>
            </w:pPr>
            <w:r>
              <w:rPr>
                <w:rFonts w:hint="eastAsia" w:ascii="仿宋" w:hAnsi="仿宋" w:eastAsia="仿宋"/>
                <w:sz w:val="28"/>
              </w:rPr>
              <w:t>法定代表人（负责人）或</w:t>
            </w:r>
          </w:p>
          <w:p>
            <w:pPr>
              <w:snapToGrid w:val="0"/>
              <w:spacing w:line="480" w:lineRule="exact"/>
              <w:rPr>
                <w:rFonts w:hint="eastAsia" w:ascii="仿宋" w:hAnsi="仿宋" w:eastAsia="仿宋"/>
                <w:sz w:val="28"/>
              </w:rPr>
            </w:pPr>
            <w:r>
              <w:rPr>
                <w:rFonts w:hint="eastAsia" w:ascii="仿宋" w:hAnsi="仿宋" w:eastAsia="仿宋"/>
                <w:sz w:val="28"/>
              </w:rPr>
              <w:t>授权代表（签字）：</w:t>
            </w:r>
          </w:p>
          <w:p>
            <w:pPr>
              <w:snapToGrid w:val="0"/>
              <w:spacing w:line="480" w:lineRule="exact"/>
              <w:rPr>
                <w:rFonts w:hint="eastAsia" w:ascii="仿宋" w:hAnsi="仿宋" w:eastAsia="仿宋"/>
                <w:sz w:val="28"/>
              </w:rPr>
            </w:pPr>
          </w:p>
          <w:p>
            <w:pPr>
              <w:snapToGrid w:val="0"/>
              <w:spacing w:line="480" w:lineRule="exact"/>
              <w:rPr>
                <w:rFonts w:hint="eastAsia" w:ascii="仿宋" w:hAnsi="仿宋" w:eastAsia="仿宋"/>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1"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签订日期：</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签订日期：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地址：</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联系人：</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电话：</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传真：</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开户银行：</w:t>
            </w:r>
            <w:r>
              <w:rPr>
                <w:rFonts w:hint="eastAsia" w:ascii="仿宋" w:hAnsi="仿宋" w:eastAsia="仿宋"/>
                <w:sz w:val="28"/>
                <w:lang w:eastAsia="zh-CN"/>
              </w:rPr>
              <w:t>工行永嘉上塘支行</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账号：</w:t>
            </w:r>
            <w:r>
              <w:rPr>
                <w:rFonts w:hint="eastAsia" w:ascii="仿宋" w:hAnsi="仿宋" w:eastAsia="仿宋"/>
                <w:sz w:val="28"/>
                <w:lang w:val="en-US" w:eastAsia="zh-CN"/>
              </w:rPr>
              <w:t>1203285009021000236</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exact"/>
          <w:jc w:val="center"/>
        </w:trPr>
        <w:tc>
          <w:tcPr>
            <w:tcW w:w="4434"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 xml:space="preserve">统一社会信用代码： </w:t>
            </w:r>
          </w:p>
        </w:tc>
        <w:tc>
          <w:tcPr>
            <w:tcW w:w="4038" w:type="dxa"/>
            <w:noWrap w:val="0"/>
            <w:vAlign w:val="center"/>
          </w:tcPr>
          <w:p>
            <w:pPr>
              <w:snapToGrid w:val="0"/>
              <w:spacing w:line="480" w:lineRule="exact"/>
              <w:rPr>
                <w:rFonts w:hint="eastAsia" w:ascii="仿宋" w:hAnsi="仿宋" w:eastAsia="仿宋"/>
                <w:sz w:val="28"/>
              </w:rPr>
            </w:pPr>
            <w:r>
              <w:rPr>
                <w:rFonts w:hint="eastAsia" w:ascii="仿宋" w:hAnsi="仿宋" w:eastAsia="仿宋"/>
                <w:sz w:val="28"/>
              </w:rPr>
              <w:t>统一社会信用代码：</w:t>
            </w:r>
          </w:p>
        </w:tc>
      </w:tr>
    </w:tbl>
    <w:p>
      <w:pPr>
        <w:snapToGrid w:val="0"/>
        <w:spacing w:line="480" w:lineRule="exact"/>
        <w:rPr>
          <w:rFonts w:hint="eastAsia" w:ascii="仿宋" w:hAnsi="仿宋" w:eastAsia="仿宋"/>
          <w:sz w:val="28"/>
        </w:rPr>
      </w:pPr>
    </w:p>
    <w:p>
      <w:pPr>
        <w:snapToGrid w:val="0"/>
        <w:spacing w:line="480" w:lineRule="exact"/>
        <w:ind w:firstLine="560" w:firstLineChars="200"/>
        <w:rPr>
          <w:rFonts w:hint="eastAsia" w:ascii="仿宋" w:hAnsi="仿宋" w:eastAsia="仿宋"/>
          <w:sz w:val="28"/>
        </w:rPr>
      </w:pPr>
    </w:p>
    <w:p>
      <w:pPr>
        <w:snapToGrid w:val="0"/>
        <w:spacing w:line="480" w:lineRule="exact"/>
        <w:rPr>
          <w:rFonts w:hint="eastAsia" w:ascii="黑体" w:eastAsia="黑体"/>
          <w:sz w:val="28"/>
        </w:rPr>
      </w:pPr>
      <w:r>
        <w:rPr>
          <w:rFonts w:hint="eastAsia" w:ascii="仿宋" w:hAnsi="仿宋" w:eastAsia="仿宋"/>
          <w:sz w:val="28"/>
        </w:rPr>
        <w:br w:type="page"/>
      </w:r>
      <w:r>
        <w:rPr>
          <w:rFonts w:hint="eastAsia" w:ascii="黑体" w:eastAsia="黑体"/>
          <w:sz w:val="28"/>
        </w:rPr>
        <w:t>附件1</w:t>
      </w:r>
    </w:p>
    <w:p>
      <w:pPr>
        <w:snapToGrid w:val="0"/>
        <w:spacing w:line="480" w:lineRule="exact"/>
        <w:jc w:val="center"/>
        <w:rPr>
          <w:rFonts w:hint="eastAsia" w:ascii="华文中宋" w:hAnsi="华文中宋" w:eastAsia="华文中宋"/>
          <w:b/>
          <w:sz w:val="32"/>
        </w:rPr>
      </w:pPr>
      <w:r>
        <w:rPr>
          <w:rFonts w:hint="eastAsia" w:ascii="华文中宋" w:hAnsi="华文中宋" w:eastAsia="华文中宋"/>
          <w:b/>
          <w:sz w:val="32"/>
        </w:rPr>
        <w:t>术语定义</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1．用电地址：用电人受电设施的地理位置及用电地点。</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2．用电容量：又称协议容量，用电人申请、并经供电人核准使用电力的最大功率或视在功率。</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3．供电质量：指供电电压、频率和波形。</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4．谐波源负荷：指用电人向公共电网注入谐波电流或在公共电网中产生谐波电压的电气设备。</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5．冲击负荷：指用电人用电过程中周期性或非周期性地从电网中取用快速变动功率的负荷。</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6．非对称负荷：因三相负荷不平衡引起电力系统公共连接点正常三相电压补平衡度发生变化的负荷。</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7．计划检修：按照年度、月度检修计划实施的设备检修。</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8．临时检修：供电设备障碍、改造等原因引起的非计划、临时性停电（检修）。</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9．紧急避险：指电网发生事故或者发电、供电设备发生重大事故；电网频率或电压超出规定范围、输变电设备负载超过规定值、主干线路功率值超出规定的稳定限额以及其他威胁电网安全运行，有可能破坏电网稳定，导致电网瓦解以致大面积停电等运行情况时，供电人采取的避险措施。</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10．不可抗力，指不能预见、不能避免并不能克服的客观情况。</w:t>
      </w:r>
    </w:p>
    <w:p>
      <w:pPr>
        <w:snapToGrid w:val="0"/>
        <w:spacing w:line="480" w:lineRule="exact"/>
        <w:ind w:firstLine="529" w:firstLineChars="189"/>
        <w:rPr>
          <w:rFonts w:hint="eastAsia" w:ascii="仿宋" w:hAnsi="仿宋" w:eastAsia="仿宋"/>
          <w:sz w:val="28"/>
        </w:rPr>
      </w:pPr>
      <w:r>
        <w:rPr>
          <w:rFonts w:hint="eastAsia" w:ascii="仿宋" w:hAnsi="仿宋" w:eastAsia="仿宋"/>
          <w:sz w:val="28"/>
        </w:rPr>
        <w:t>11．逾期日：指超过双方约定的交纳电费的截止日的第二天算起，不含截止日。</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12．重要用户：指有重要负荷的用户。重要负荷的定义参见国家标准《供配电系统设计规范》（GB50052-2009）。</w:t>
      </w:r>
    </w:p>
    <w:p>
      <w:pPr>
        <w:snapToGrid w:val="0"/>
        <w:spacing w:line="480" w:lineRule="exact"/>
        <w:rPr>
          <w:rFonts w:hint="eastAsia" w:ascii="黑体" w:hAnsi="方正仿宋_GBK" w:eastAsia="黑体"/>
          <w:sz w:val="28"/>
        </w:rPr>
      </w:pPr>
      <w:r>
        <w:rPr>
          <w:rFonts w:hint="eastAsia" w:ascii="仿宋" w:hAnsi="仿宋" w:eastAsia="仿宋"/>
          <w:sz w:val="28"/>
        </w:rPr>
        <w:br w:type="page"/>
      </w:r>
      <w:r>
        <w:rPr>
          <w:rFonts w:hint="eastAsia" w:ascii="黑体" w:hAnsi="方正仿宋_GBK" w:eastAsia="黑体"/>
          <w:sz w:val="28"/>
        </w:rPr>
        <w:t>附件2</w:t>
      </w:r>
    </w:p>
    <w:p>
      <w:pPr>
        <w:snapToGrid w:val="0"/>
        <w:spacing w:line="480" w:lineRule="exact"/>
        <w:jc w:val="center"/>
        <w:rPr>
          <w:rFonts w:hint="eastAsia" w:ascii="华文中宋" w:hAnsi="华文中宋" w:eastAsia="华文中宋"/>
          <w:b/>
          <w:sz w:val="32"/>
        </w:rPr>
      </w:pPr>
      <w:r>
        <w:rPr>
          <w:rFonts w:hint="eastAsia" w:ascii="华文中宋" w:hAnsi="华文中宋" w:eastAsia="华文中宋"/>
          <w:b/>
          <w:sz w:val="32"/>
        </w:rPr>
        <w:t>供电接线及产权分界示意图</w:t>
      </w:r>
    </w:p>
    <w:tbl>
      <w:tblPr>
        <w:tblStyle w:val="25"/>
        <w:tblW w:w="8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251" w:type="dxa"/>
            <w:noWrap w:val="0"/>
            <w:vAlign w:val="top"/>
          </w:tcPr>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p>
            <w:pPr>
              <w:spacing w:line="480" w:lineRule="exact"/>
              <w:rPr>
                <w:rFonts w:hint="eastAsia" w:ascii="仿宋_GB2312" w:hAnsi="方正仿宋_GBK" w:eastAsia="仿宋_GB2312"/>
                <w:sz w:val="28"/>
              </w:rPr>
            </w:pPr>
          </w:p>
        </w:tc>
      </w:tr>
    </w:tbl>
    <w:p>
      <w:pPr>
        <w:spacing w:line="480" w:lineRule="exact"/>
        <w:ind w:firstLine="560" w:firstLineChars="200"/>
        <w:rPr>
          <w:rFonts w:hint="eastAsia" w:ascii="仿宋_GB2312" w:hAnsi="方正仿宋_GBK" w:eastAsia="仿宋_GB2312"/>
          <w:sz w:val="28"/>
        </w:rPr>
      </w:pPr>
    </w:p>
    <w:p>
      <w:pPr>
        <w:snapToGrid w:val="0"/>
        <w:spacing w:line="480" w:lineRule="exact"/>
        <w:rPr>
          <w:rFonts w:hint="eastAsia" w:ascii="黑体" w:eastAsia="黑体"/>
          <w:sz w:val="28"/>
        </w:rPr>
      </w:pPr>
      <w:r>
        <w:rPr>
          <w:rFonts w:hint="eastAsia" w:ascii="仿宋_GB2312" w:hAnsi="方正仿宋_GBK" w:eastAsia="仿宋_GB2312"/>
          <w:sz w:val="28"/>
        </w:rPr>
        <w:br w:type="page"/>
      </w:r>
      <w:r>
        <w:rPr>
          <w:rFonts w:hint="eastAsia" w:ascii="黑体" w:eastAsia="黑体"/>
          <w:sz w:val="28"/>
        </w:rPr>
        <w:t>附件3</w:t>
      </w:r>
    </w:p>
    <w:p>
      <w:pPr>
        <w:spacing w:line="480" w:lineRule="exact"/>
        <w:jc w:val="center"/>
        <w:rPr>
          <w:rFonts w:hint="eastAsia" w:ascii="华文中宋" w:hAnsi="华文中宋" w:eastAsia="华文中宋"/>
          <w:b/>
          <w:sz w:val="32"/>
        </w:rPr>
      </w:pPr>
      <w:r>
        <w:rPr>
          <w:rFonts w:hint="eastAsia" w:ascii="华文中宋" w:hAnsi="华文中宋" w:eastAsia="华文中宋"/>
          <w:b/>
          <w:sz w:val="32"/>
        </w:rPr>
        <w:t>合同事项变更确认书</w:t>
      </w:r>
    </w:p>
    <w:p>
      <w:pPr>
        <w:spacing w:line="480" w:lineRule="exact"/>
        <w:rPr>
          <w:rFonts w:hint="eastAsia" w:ascii="仿宋_GB2312" w:eastAsia="仿宋_GB2312"/>
          <w:sz w:val="28"/>
        </w:rPr>
      </w:pPr>
    </w:p>
    <w:tbl>
      <w:tblPr>
        <w:tblStyle w:val="25"/>
        <w:tblW w:w="9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75"/>
        <w:gridCol w:w="1740"/>
        <w:gridCol w:w="1770"/>
        <w:gridCol w:w="196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66" w:type="dxa"/>
            <w:noWrap w:val="0"/>
            <w:vAlign w:val="center"/>
          </w:tcPr>
          <w:p>
            <w:pPr>
              <w:spacing w:line="480" w:lineRule="exact"/>
              <w:jc w:val="center"/>
              <w:rPr>
                <w:rFonts w:hint="eastAsia" w:ascii="仿宋" w:hAnsi="仿宋" w:eastAsia="仿宋"/>
                <w:b/>
                <w:kern w:val="0"/>
                <w:sz w:val="28"/>
              </w:rPr>
            </w:pPr>
            <w:r>
              <w:rPr>
                <w:rFonts w:hint="eastAsia" w:ascii="仿宋" w:hAnsi="仿宋" w:eastAsia="仿宋"/>
                <w:kern w:val="0"/>
                <w:sz w:val="28"/>
              </w:rPr>
              <w:t>序号</w:t>
            </w:r>
          </w:p>
        </w:tc>
        <w:tc>
          <w:tcPr>
            <w:tcW w:w="975" w:type="dxa"/>
            <w:noWrap w:val="0"/>
            <w:vAlign w:val="center"/>
          </w:tcPr>
          <w:p>
            <w:pPr>
              <w:spacing w:line="480" w:lineRule="exact"/>
              <w:jc w:val="center"/>
              <w:rPr>
                <w:rFonts w:hint="eastAsia" w:ascii="仿宋" w:hAnsi="仿宋" w:eastAsia="仿宋"/>
                <w:b/>
                <w:sz w:val="28"/>
              </w:rPr>
            </w:pPr>
            <w:r>
              <w:rPr>
                <w:rFonts w:hint="eastAsia" w:ascii="仿宋" w:hAnsi="仿宋" w:eastAsia="仿宋"/>
                <w:kern w:val="0"/>
                <w:sz w:val="28"/>
              </w:rPr>
              <w:t>变更事项</w:t>
            </w:r>
          </w:p>
        </w:tc>
        <w:tc>
          <w:tcPr>
            <w:tcW w:w="1740" w:type="dxa"/>
            <w:noWrap w:val="0"/>
            <w:vAlign w:val="center"/>
          </w:tcPr>
          <w:p>
            <w:pPr>
              <w:spacing w:line="480" w:lineRule="exact"/>
              <w:jc w:val="center"/>
              <w:rPr>
                <w:rFonts w:hint="eastAsia" w:ascii="仿宋" w:hAnsi="仿宋" w:eastAsia="仿宋"/>
                <w:sz w:val="28"/>
              </w:rPr>
            </w:pPr>
            <w:r>
              <w:rPr>
                <w:rFonts w:hint="eastAsia" w:ascii="仿宋" w:hAnsi="仿宋" w:eastAsia="仿宋"/>
                <w:kern w:val="0"/>
                <w:sz w:val="28"/>
              </w:rPr>
              <w:t>变更前</w:t>
            </w:r>
            <w:r>
              <w:rPr>
                <w:rFonts w:hint="eastAsia" w:ascii="仿宋" w:hAnsi="仿宋" w:eastAsia="仿宋"/>
                <w:sz w:val="28"/>
              </w:rPr>
              <w:t>约定</w:t>
            </w:r>
          </w:p>
        </w:tc>
        <w:tc>
          <w:tcPr>
            <w:tcW w:w="1770" w:type="dxa"/>
            <w:noWrap w:val="0"/>
            <w:vAlign w:val="center"/>
          </w:tcPr>
          <w:p>
            <w:pPr>
              <w:spacing w:line="480" w:lineRule="exact"/>
              <w:jc w:val="center"/>
              <w:rPr>
                <w:rFonts w:hint="eastAsia" w:ascii="仿宋" w:hAnsi="仿宋" w:eastAsia="仿宋"/>
                <w:b/>
                <w:sz w:val="28"/>
              </w:rPr>
            </w:pPr>
            <w:r>
              <w:rPr>
                <w:rFonts w:hint="eastAsia" w:ascii="仿宋" w:hAnsi="仿宋" w:eastAsia="仿宋"/>
                <w:kern w:val="0"/>
                <w:sz w:val="28"/>
              </w:rPr>
              <w:t>变更后</w:t>
            </w:r>
            <w:r>
              <w:rPr>
                <w:rFonts w:hint="eastAsia" w:ascii="仿宋" w:hAnsi="仿宋" w:eastAsia="仿宋"/>
                <w:sz w:val="28"/>
              </w:rPr>
              <w:t>约定</w:t>
            </w:r>
          </w:p>
        </w:tc>
        <w:tc>
          <w:tcPr>
            <w:tcW w:w="1965" w:type="dxa"/>
            <w:noWrap w:val="0"/>
            <w:vAlign w:val="center"/>
          </w:tcPr>
          <w:p>
            <w:pPr>
              <w:spacing w:line="480" w:lineRule="exact"/>
              <w:jc w:val="center"/>
              <w:rPr>
                <w:rFonts w:hint="eastAsia" w:ascii="仿宋" w:hAnsi="仿宋" w:eastAsia="仿宋"/>
                <w:b/>
                <w:sz w:val="28"/>
              </w:rPr>
            </w:pPr>
            <w:r>
              <w:rPr>
                <w:rFonts w:hint="eastAsia" w:ascii="仿宋" w:hAnsi="仿宋" w:eastAsia="仿宋"/>
                <w:kern w:val="0"/>
                <w:sz w:val="28"/>
              </w:rPr>
              <w:t>供电人确认</w:t>
            </w:r>
          </w:p>
        </w:tc>
        <w:tc>
          <w:tcPr>
            <w:tcW w:w="1989" w:type="dxa"/>
            <w:noWrap w:val="0"/>
            <w:vAlign w:val="center"/>
          </w:tcPr>
          <w:p>
            <w:pPr>
              <w:spacing w:line="480" w:lineRule="exact"/>
              <w:jc w:val="center"/>
              <w:rPr>
                <w:rFonts w:hint="eastAsia" w:ascii="仿宋" w:hAnsi="仿宋" w:eastAsia="仿宋"/>
                <w:b/>
                <w:sz w:val="28"/>
              </w:rPr>
            </w:pPr>
            <w:r>
              <w:rPr>
                <w:rFonts w:hint="eastAsia" w:ascii="仿宋" w:hAnsi="仿宋" w:eastAsia="仿宋"/>
                <w:kern w:val="0"/>
                <w:sz w:val="28"/>
              </w:rPr>
              <w:t>用电人确认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1</w:t>
            </w:r>
          </w:p>
        </w:tc>
        <w:tc>
          <w:tcPr>
            <w:tcW w:w="975" w:type="dxa"/>
            <w:noWrap w:val="0"/>
            <w:vAlign w:val="top"/>
          </w:tcPr>
          <w:p>
            <w:pPr>
              <w:spacing w:line="480" w:lineRule="exact"/>
              <w:ind w:left="-107" w:leftChars="-51" w:firstLine="142" w:firstLineChars="51"/>
              <w:jc w:val="center"/>
              <w:rPr>
                <w:rFonts w:hint="eastAsia" w:ascii="仿宋" w:hAnsi="仿宋" w:eastAsia="仿宋"/>
                <w:sz w:val="28"/>
              </w:rPr>
            </w:pPr>
          </w:p>
        </w:tc>
        <w:tc>
          <w:tcPr>
            <w:tcW w:w="1740" w:type="dxa"/>
            <w:noWrap w:val="0"/>
            <w:vAlign w:val="top"/>
          </w:tcPr>
          <w:p>
            <w:pPr>
              <w:spacing w:line="480" w:lineRule="exact"/>
              <w:ind w:hanging="1"/>
              <w:jc w:val="center"/>
              <w:rPr>
                <w:rFonts w:hint="eastAsia" w:ascii="仿宋" w:hAnsi="仿宋" w:eastAsia="仿宋"/>
                <w:sz w:val="28"/>
              </w:rPr>
            </w:pPr>
          </w:p>
        </w:tc>
        <w:tc>
          <w:tcPr>
            <w:tcW w:w="1770" w:type="dxa"/>
            <w:noWrap w:val="0"/>
            <w:vAlign w:val="top"/>
          </w:tcPr>
          <w:p>
            <w:pPr>
              <w:spacing w:line="480" w:lineRule="exact"/>
              <w:ind w:hanging="1"/>
              <w:jc w:val="center"/>
              <w:rPr>
                <w:rFonts w:hint="eastAsia" w:ascii="仿宋" w:hAnsi="仿宋" w:eastAsia="仿宋"/>
                <w:sz w:val="28"/>
              </w:rPr>
            </w:pPr>
          </w:p>
        </w:tc>
        <w:tc>
          <w:tcPr>
            <w:tcW w:w="196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1989"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2</w:t>
            </w:r>
          </w:p>
        </w:tc>
        <w:tc>
          <w:tcPr>
            <w:tcW w:w="975" w:type="dxa"/>
            <w:noWrap w:val="0"/>
            <w:vAlign w:val="top"/>
          </w:tcPr>
          <w:p>
            <w:pPr>
              <w:spacing w:line="480" w:lineRule="exact"/>
              <w:ind w:hanging="1"/>
              <w:jc w:val="center"/>
              <w:rPr>
                <w:rFonts w:hint="eastAsia" w:ascii="仿宋" w:hAnsi="仿宋" w:eastAsia="仿宋"/>
                <w:sz w:val="28"/>
              </w:rPr>
            </w:pPr>
          </w:p>
        </w:tc>
        <w:tc>
          <w:tcPr>
            <w:tcW w:w="1740" w:type="dxa"/>
            <w:noWrap w:val="0"/>
            <w:vAlign w:val="top"/>
          </w:tcPr>
          <w:p>
            <w:pPr>
              <w:spacing w:line="480" w:lineRule="exact"/>
              <w:ind w:left="-107" w:leftChars="-51" w:rightChars="-73"/>
              <w:jc w:val="center"/>
              <w:rPr>
                <w:rFonts w:hint="eastAsia" w:ascii="仿宋" w:hAnsi="仿宋" w:eastAsia="仿宋"/>
                <w:sz w:val="28"/>
              </w:rPr>
            </w:pPr>
          </w:p>
        </w:tc>
        <w:tc>
          <w:tcPr>
            <w:tcW w:w="1770" w:type="dxa"/>
            <w:noWrap w:val="0"/>
            <w:vAlign w:val="top"/>
          </w:tcPr>
          <w:p>
            <w:pPr>
              <w:spacing w:line="480" w:lineRule="exact"/>
              <w:ind w:hanging="1"/>
              <w:jc w:val="center"/>
              <w:rPr>
                <w:rFonts w:hint="eastAsia" w:ascii="仿宋" w:hAnsi="仿宋" w:eastAsia="仿宋"/>
                <w:sz w:val="28"/>
              </w:rPr>
            </w:pPr>
          </w:p>
        </w:tc>
        <w:tc>
          <w:tcPr>
            <w:tcW w:w="196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1989"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3</w:t>
            </w:r>
          </w:p>
        </w:tc>
        <w:tc>
          <w:tcPr>
            <w:tcW w:w="975" w:type="dxa"/>
            <w:noWrap w:val="0"/>
            <w:vAlign w:val="top"/>
          </w:tcPr>
          <w:p>
            <w:pPr>
              <w:spacing w:line="480" w:lineRule="exact"/>
              <w:ind w:hanging="1"/>
              <w:jc w:val="center"/>
              <w:rPr>
                <w:rFonts w:hint="eastAsia" w:ascii="仿宋" w:hAnsi="仿宋" w:eastAsia="仿宋"/>
                <w:sz w:val="28"/>
              </w:rPr>
            </w:pPr>
          </w:p>
        </w:tc>
        <w:tc>
          <w:tcPr>
            <w:tcW w:w="1740" w:type="dxa"/>
            <w:noWrap w:val="0"/>
            <w:vAlign w:val="top"/>
          </w:tcPr>
          <w:p>
            <w:pPr>
              <w:spacing w:line="480" w:lineRule="exact"/>
              <w:ind w:hanging="1"/>
              <w:jc w:val="center"/>
              <w:rPr>
                <w:rFonts w:hint="eastAsia" w:ascii="仿宋" w:hAnsi="仿宋" w:eastAsia="仿宋"/>
                <w:sz w:val="28"/>
              </w:rPr>
            </w:pPr>
          </w:p>
        </w:tc>
        <w:tc>
          <w:tcPr>
            <w:tcW w:w="1770" w:type="dxa"/>
            <w:noWrap w:val="0"/>
            <w:vAlign w:val="top"/>
          </w:tcPr>
          <w:p>
            <w:pPr>
              <w:spacing w:line="480" w:lineRule="exact"/>
              <w:ind w:hanging="1"/>
              <w:jc w:val="center"/>
              <w:rPr>
                <w:rFonts w:hint="eastAsia" w:ascii="仿宋" w:hAnsi="仿宋" w:eastAsia="仿宋"/>
                <w:sz w:val="28"/>
              </w:rPr>
            </w:pPr>
          </w:p>
        </w:tc>
        <w:tc>
          <w:tcPr>
            <w:tcW w:w="196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1989"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4</w:t>
            </w:r>
          </w:p>
        </w:tc>
        <w:tc>
          <w:tcPr>
            <w:tcW w:w="975" w:type="dxa"/>
            <w:noWrap w:val="0"/>
            <w:vAlign w:val="top"/>
          </w:tcPr>
          <w:p>
            <w:pPr>
              <w:spacing w:line="480" w:lineRule="exact"/>
              <w:ind w:hanging="1"/>
              <w:jc w:val="center"/>
              <w:rPr>
                <w:rFonts w:hint="eastAsia" w:ascii="仿宋" w:hAnsi="仿宋" w:eastAsia="仿宋"/>
                <w:sz w:val="28"/>
              </w:rPr>
            </w:pPr>
          </w:p>
        </w:tc>
        <w:tc>
          <w:tcPr>
            <w:tcW w:w="1740" w:type="dxa"/>
            <w:noWrap w:val="0"/>
            <w:vAlign w:val="top"/>
          </w:tcPr>
          <w:p>
            <w:pPr>
              <w:spacing w:line="480" w:lineRule="exact"/>
              <w:ind w:hanging="1"/>
              <w:jc w:val="center"/>
              <w:rPr>
                <w:rFonts w:hint="eastAsia" w:ascii="仿宋" w:hAnsi="仿宋" w:eastAsia="仿宋"/>
                <w:sz w:val="28"/>
              </w:rPr>
            </w:pPr>
          </w:p>
        </w:tc>
        <w:tc>
          <w:tcPr>
            <w:tcW w:w="1770" w:type="dxa"/>
            <w:noWrap w:val="0"/>
            <w:vAlign w:val="top"/>
          </w:tcPr>
          <w:p>
            <w:pPr>
              <w:spacing w:line="480" w:lineRule="exact"/>
              <w:ind w:hanging="1"/>
              <w:jc w:val="center"/>
              <w:rPr>
                <w:rFonts w:hint="eastAsia" w:ascii="仿宋" w:hAnsi="仿宋" w:eastAsia="仿宋"/>
                <w:sz w:val="28"/>
              </w:rPr>
            </w:pPr>
          </w:p>
        </w:tc>
        <w:tc>
          <w:tcPr>
            <w:tcW w:w="196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1989"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5</w:t>
            </w:r>
          </w:p>
        </w:tc>
        <w:tc>
          <w:tcPr>
            <w:tcW w:w="975" w:type="dxa"/>
            <w:noWrap w:val="0"/>
            <w:vAlign w:val="top"/>
          </w:tcPr>
          <w:p>
            <w:pPr>
              <w:spacing w:line="480" w:lineRule="exact"/>
              <w:ind w:hanging="1"/>
              <w:jc w:val="center"/>
              <w:rPr>
                <w:rFonts w:hint="eastAsia" w:ascii="仿宋" w:hAnsi="仿宋" w:eastAsia="仿宋"/>
                <w:sz w:val="28"/>
              </w:rPr>
            </w:pPr>
          </w:p>
        </w:tc>
        <w:tc>
          <w:tcPr>
            <w:tcW w:w="1740" w:type="dxa"/>
            <w:noWrap w:val="0"/>
            <w:vAlign w:val="top"/>
          </w:tcPr>
          <w:p>
            <w:pPr>
              <w:spacing w:line="480" w:lineRule="exact"/>
              <w:ind w:hanging="1"/>
              <w:jc w:val="center"/>
              <w:rPr>
                <w:rFonts w:hint="eastAsia" w:ascii="仿宋" w:hAnsi="仿宋" w:eastAsia="仿宋"/>
                <w:sz w:val="28"/>
              </w:rPr>
            </w:pPr>
          </w:p>
        </w:tc>
        <w:tc>
          <w:tcPr>
            <w:tcW w:w="1770" w:type="dxa"/>
            <w:noWrap w:val="0"/>
            <w:vAlign w:val="top"/>
          </w:tcPr>
          <w:p>
            <w:pPr>
              <w:spacing w:line="480" w:lineRule="exact"/>
              <w:ind w:hanging="1"/>
              <w:jc w:val="center"/>
              <w:rPr>
                <w:rFonts w:hint="eastAsia" w:ascii="仿宋" w:hAnsi="仿宋" w:eastAsia="仿宋"/>
                <w:sz w:val="28"/>
              </w:rPr>
            </w:pPr>
          </w:p>
        </w:tc>
        <w:tc>
          <w:tcPr>
            <w:tcW w:w="196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1989"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bl>
    <w:p>
      <w:pPr>
        <w:snapToGrid w:val="0"/>
        <w:spacing w:line="480" w:lineRule="exact"/>
        <w:rPr>
          <w:rFonts w:hint="eastAsia" w:ascii="仿宋" w:hAnsi="仿宋" w:eastAsia="仿宋"/>
          <w:sz w:val="28"/>
        </w:rPr>
      </w:pPr>
    </w:p>
    <w:sectPr>
      <w:footerReference r:id="rId7" w:type="default"/>
      <w:pgSz w:w="11906" w:h="16838"/>
      <w:pgMar w:top="1440" w:right="1797" w:bottom="1440" w:left="179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287" w:usb1="080F0000" w:usb2="00000000" w:usb3="00000000" w:csb0="0004009F" w:csb1="DFD70000"/>
  </w:font>
  <w:font w:name="Times New Roman PSMT">
    <w:altName w:val="宋体"/>
    <w:panose1 w:val="00000000000000000000"/>
    <w:charset w:val="86"/>
    <w:family w:val="roman"/>
    <w:pitch w:val="default"/>
    <w:sig w:usb0="00000001" w:usb1="080E0000" w:usb2="00000010" w:usb3="00000000" w:csb0="00040000" w:csb1="00000000"/>
  </w:font>
  <w:font w:name="方正仿宋_GBK">
    <w:altName w:val="微软雅黑"/>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ascii="方正仿宋_GBK" w:eastAsia="方正仿宋_GBK"/>
        <w:sz w:val="21"/>
      </w:rPr>
    </w:pPr>
    <w:r>
      <w:rPr>
        <w:rFonts w:hint="eastAsia" w:ascii="方正仿宋_GBK" w:eastAsia="方正仿宋_GBK"/>
        <w:kern w:val="0"/>
        <w:sz w:val="21"/>
      </w:rPr>
      <w:fldChar w:fldCharType="begin"/>
    </w:r>
    <w:r>
      <w:rPr>
        <w:rFonts w:hint="eastAsia" w:ascii="方正仿宋_GBK" w:eastAsia="方正仿宋_GBK"/>
        <w:kern w:val="0"/>
        <w:sz w:val="21"/>
      </w:rPr>
      <w:instrText xml:space="preserve"> PAGE </w:instrText>
    </w:r>
    <w:r>
      <w:rPr>
        <w:rFonts w:hint="eastAsia" w:ascii="方正仿宋_GBK" w:eastAsia="方正仿宋_GBK"/>
        <w:kern w:val="0"/>
        <w:sz w:val="21"/>
      </w:rPr>
      <w:fldChar w:fldCharType="separate"/>
    </w:r>
    <w:r>
      <w:rPr>
        <w:rFonts w:ascii="方正仿宋_GBK" w:eastAsia="方正仿宋_GBK"/>
        <w:kern w:val="0"/>
        <w:sz w:val="21"/>
        <w:lang/>
      </w:rPr>
      <w:t>16</w:t>
    </w:r>
    <w:r>
      <w:rPr>
        <w:rFonts w:hint="eastAsia" w:ascii="方正仿宋_GBK" w:eastAsia="方正仿宋_GBK"/>
        <w:kern w:val="0"/>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hint="eastAsia" w:ascii="宋体" w:hAnsi="宋体"/>
        <w:sz w:val="21"/>
      </w:rPr>
    </w:pPr>
    <w:r>
      <w:rPr>
        <w:rFonts w:hint="eastAsia"/>
        <w:sz w:val="21"/>
      </w:rPr>
      <w:t xml:space="preserve"> SGTYHT/1</w:t>
    </w:r>
    <w:r>
      <w:rPr>
        <w:rFonts w:hint="eastAsia"/>
        <w:sz w:val="21"/>
        <w:lang w:val="en-US" w:eastAsia="zh-CN"/>
      </w:rPr>
      <w:t>7</w:t>
    </w:r>
    <w:r>
      <w:rPr>
        <w:rFonts w:hint="eastAsia"/>
        <w:sz w:val="21"/>
      </w:rPr>
      <w:t>-GY-002</w:t>
    </w:r>
    <w:r>
      <w:rPr>
        <w:rFonts w:hint="eastAsia" w:ascii="宋体" w:hAnsi="宋体"/>
        <w:sz w:val="21"/>
      </w:rPr>
      <w:t xml:space="preserve"> 低压供用电合同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hint="eastAsia" w:ascii="宋体" w:hAnsi="宋体"/>
        <w:sz w:val="21"/>
      </w:rPr>
    </w:pPr>
    <w:r>
      <w:rPr>
        <w:rFonts w:hint="eastAsia"/>
        <w:sz w:val="21"/>
      </w:rPr>
      <w:t xml:space="preserve"> SGTYHT/1</w:t>
    </w:r>
    <w:r>
      <w:rPr>
        <w:rFonts w:hint="eastAsia"/>
        <w:sz w:val="21"/>
        <w:lang w:val="en-US" w:eastAsia="zh-CN"/>
      </w:rPr>
      <w:t>7</w:t>
    </w:r>
    <w:r>
      <w:rPr>
        <w:rFonts w:hint="eastAsia"/>
        <w:sz w:val="21"/>
      </w:rPr>
      <w:t>-GY-002</w:t>
    </w:r>
    <w:r>
      <w:rPr>
        <w:rFonts w:hint="eastAsia" w:ascii="宋体" w:hAnsi="宋体"/>
        <w:sz w:val="21"/>
      </w:rPr>
      <w:t xml:space="preserve"> 低压供用电合同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0907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rPr>
  </w:style>
  <w:style w:type="paragraph" w:styleId="2">
    <w:name w:val="heading 1"/>
    <w:basedOn w:val="1"/>
    <w:next w:val="1"/>
    <w:link w:val="29"/>
    <w:uiPriority w:val="0"/>
    <w:pPr>
      <w:keepNext/>
      <w:keepLines/>
      <w:adjustRightInd w:val="0"/>
      <w:snapToGrid w:val="0"/>
      <w:ind w:firstLine="200" w:firstLineChars="200"/>
      <w:jc w:val="left"/>
      <w:outlineLvl w:val="0"/>
    </w:pPr>
    <w:rPr>
      <w:rFonts w:eastAsia="华文仿宋"/>
      <w:b/>
      <w:kern w:val="44"/>
      <w:sz w:val="32"/>
    </w:rPr>
  </w:style>
  <w:style w:type="character" w:default="1" w:styleId="20">
    <w:name w:val="Default Paragraph Font"/>
    <w:uiPriority w:val="0"/>
  </w:style>
  <w:style w:type="table" w:default="1" w:styleId="25">
    <w:name w:val="Normal Table"/>
    <w:semiHidden/>
    <w:uiPriority w:val="0"/>
    <w:tblPr>
      <w:tblLayout w:type="fixed"/>
      <w:tblCellMar>
        <w:top w:w="0" w:type="dxa"/>
        <w:left w:w="108" w:type="dxa"/>
        <w:bottom w:w="0" w:type="dxa"/>
        <w:right w:w="108" w:type="dxa"/>
      </w:tblCellMar>
    </w:tblPr>
  </w:style>
  <w:style w:type="paragraph" w:styleId="3">
    <w:name w:val="annotation subject"/>
    <w:basedOn w:val="4"/>
    <w:next w:val="4"/>
    <w:link w:val="34"/>
    <w:uiPriority w:val="0"/>
    <w:rPr>
      <w:b/>
      <w:kern w:val="2"/>
      <w:sz w:val="21"/>
    </w:rPr>
  </w:style>
  <w:style w:type="paragraph" w:styleId="4">
    <w:name w:val="annotation text"/>
    <w:basedOn w:val="1"/>
    <w:link w:val="32"/>
    <w:uiPriority w:val="0"/>
    <w:pPr>
      <w:jc w:val="left"/>
    </w:pPr>
    <w:rPr>
      <w:kern w:val="2"/>
      <w:sz w:val="21"/>
    </w:rPr>
  </w:style>
  <w:style w:type="paragraph" w:styleId="5">
    <w:name w:val="Document Map"/>
    <w:basedOn w:val="1"/>
    <w:link w:val="31"/>
    <w:uiPriority w:val="0"/>
    <w:rPr>
      <w:rFonts w:ascii="宋体"/>
      <w:kern w:val="2"/>
      <w:sz w:val="18"/>
    </w:rPr>
  </w:style>
  <w:style w:type="paragraph" w:styleId="6">
    <w:name w:val="Body Text"/>
    <w:basedOn w:val="1"/>
    <w:uiPriority w:val="0"/>
    <w:pPr>
      <w:snapToGrid w:val="0"/>
      <w:spacing w:line="460" w:lineRule="exact"/>
    </w:pPr>
    <w:rPr>
      <w:sz w:val="24"/>
    </w:rPr>
  </w:style>
  <w:style w:type="paragraph" w:styleId="7">
    <w:name w:val="Body Text Indent"/>
    <w:basedOn w:val="1"/>
    <w:uiPriority w:val="0"/>
    <w:pPr>
      <w:snapToGrid w:val="0"/>
      <w:spacing w:line="360" w:lineRule="auto"/>
      <w:ind w:firstLine="435"/>
    </w:pPr>
  </w:style>
  <w:style w:type="paragraph" w:styleId="8">
    <w:name w:val="toc 3"/>
    <w:basedOn w:val="1"/>
    <w:next w:val="1"/>
    <w:uiPriority w:val="0"/>
    <w:pPr>
      <w:widowControl/>
      <w:spacing w:after="100" w:afterLines="0" w:afterAutospacing="0" w:line="276" w:lineRule="auto"/>
      <w:ind w:left="440"/>
      <w:jc w:val="left"/>
    </w:pPr>
    <w:rPr>
      <w:rFonts w:ascii="Calibri" w:hAnsi="Calibri" w:eastAsia="宋体"/>
      <w:kern w:val="0"/>
      <w:sz w:val="22"/>
    </w:rPr>
  </w:style>
  <w:style w:type="paragraph" w:styleId="9">
    <w:name w:val="toc 8"/>
    <w:basedOn w:val="1"/>
    <w:next w:val="1"/>
    <w:uiPriority w:val="0"/>
    <w:pPr>
      <w:ind w:left="2940" w:leftChars="1400"/>
    </w:pPr>
  </w:style>
  <w:style w:type="paragraph" w:styleId="10">
    <w:name w:val="Date"/>
    <w:basedOn w:val="1"/>
    <w:next w:val="1"/>
    <w:uiPriority w:val="0"/>
    <w:rPr>
      <w:rFonts w:ascii="宋体"/>
      <w:spacing w:val="2"/>
      <w:position w:val="8"/>
      <w:sz w:val="26"/>
    </w:rPr>
  </w:style>
  <w:style w:type="paragraph" w:styleId="11">
    <w:name w:val="Body Text Indent 2"/>
    <w:basedOn w:val="1"/>
    <w:uiPriority w:val="0"/>
    <w:pPr>
      <w:snapToGrid w:val="0"/>
      <w:spacing w:line="360" w:lineRule="auto"/>
      <w:ind w:firstLine="435"/>
    </w:pPr>
    <w:rPr>
      <w:sz w:val="24"/>
    </w:rPr>
  </w:style>
  <w:style w:type="paragraph" w:styleId="12">
    <w:name w:val="Balloon Text"/>
    <w:basedOn w:val="1"/>
    <w:uiPriority w:val="0"/>
    <w:rPr>
      <w:sz w:val="18"/>
    </w:rPr>
  </w:style>
  <w:style w:type="paragraph" w:styleId="13">
    <w:name w:val="footer"/>
    <w:basedOn w:val="1"/>
    <w:link w:val="33"/>
    <w:uiPriority w:val="0"/>
    <w:pPr>
      <w:tabs>
        <w:tab w:val="center" w:pos="4153"/>
        <w:tab w:val="right" w:pos="8306"/>
      </w:tabs>
      <w:snapToGrid w:val="0"/>
      <w:jc w:val="left"/>
    </w:pPr>
    <w:rPr>
      <w:kern w:val="2"/>
      <w:sz w:val="18"/>
    </w:rPr>
  </w:style>
  <w:style w:type="paragraph" w:styleId="14">
    <w:name w:val="header"/>
    <w:basedOn w:val="1"/>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uiPriority w:val="0"/>
    <w:pPr>
      <w:widowControl/>
      <w:tabs>
        <w:tab w:val="right" w:leader="dot" w:pos="8810"/>
      </w:tabs>
      <w:spacing w:after="100" w:afterLines="0" w:afterAutospacing="0" w:line="276" w:lineRule="auto"/>
      <w:jc w:val="center"/>
    </w:pPr>
    <w:rPr>
      <w:rFonts w:ascii="华文中宋" w:hAnsi="华文中宋" w:eastAsia="华文中宋"/>
      <w:b/>
      <w:sz w:val="32"/>
    </w:rPr>
  </w:style>
  <w:style w:type="paragraph" w:styleId="16">
    <w:name w:val="footnote text"/>
    <w:basedOn w:val="1"/>
    <w:link w:val="35"/>
    <w:uiPriority w:val="0"/>
    <w:pPr>
      <w:snapToGrid w:val="0"/>
      <w:jc w:val="left"/>
    </w:pPr>
    <w:rPr>
      <w:kern w:val="2"/>
      <w:sz w:val="18"/>
    </w:rPr>
  </w:style>
  <w:style w:type="paragraph" w:styleId="17">
    <w:name w:val="Body Text Indent 3"/>
    <w:basedOn w:val="1"/>
    <w:uiPriority w:val="0"/>
    <w:pPr>
      <w:snapToGrid w:val="0"/>
      <w:spacing w:line="360" w:lineRule="auto"/>
      <w:ind w:firstLine="420"/>
    </w:pPr>
    <w:rPr>
      <w:b/>
      <w:sz w:val="24"/>
    </w:rPr>
  </w:style>
  <w:style w:type="paragraph" w:styleId="18">
    <w:name w:val="toc 2"/>
    <w:basedOn w:val="1"/>
    <w:next w:val="1"/>
    <w:uiPriority w:val="0"/>
    <w:pPr>
      <w:widowControl/>
      <w:spacing w:after="100" w:afterLines="0" w:afterAutospacing="0" w:line="276" w:lineRule="auto"/>
      <w:ind w:left="220"/>
      <w:jc w:val="left"/>
    </w:pPr>
    <w:rPr>
      <w:rFonts w:ascii="Calibri" w:hAnsi="Calibri" w:eastAsia="宋体"/>
      <w:kern w:val="0"/>
      <w:sz w:val="22"/>
    </w:rPr>
  </w:style>
  <w:style w:type="paragraph" w:styleId="19">
    <w:name w:val="Normal (Web)"/>
    <w:basedOn w:val="1"/>
    <w:uiPriority w:val="0"/>
    <w:rPr>
      <w:sz w:val="24"/>
    </w:rPr>
  </w:style>
  <w:style w:type="character" w:styleId="21">
    <w:name w:val="page number"/>
    <w:basedOn w:val="20"/>
    <w:uiPriority w:val="0"/>
  </w:style>
  <w:style w:type="character" w:styleId="22">
    <w:name w:val="Hyperlink"/>
    <w:uiPriority w:val="0"/>
    <w:rPr>
      <w:color w:val="0000FF"/>
      <w:u w:val="single"/>
    </w:rPr>
  </w:style>
  <w:style w:type="character" w:styleId="23">
    <w:name w:val="annotation reference"/>
    <w:uiPriority w:val="0"/>
    <w:rPr>
      <w:sz w:val="21"/>
    </w:rPr>
  </w:style>
  <w:style w:type="character" w:styleId="24">
    <w:name w:val="footnote reference"/>
    <w:uiPriority w:val="0"/>
    <w:rPr>
      <w:vertAlign w:val="superscript"/>
    </w:rPr>
  </w:style>
  <w:style w:type="paragraph" w:customStyle="1" w:styleId="26">
    <w:name w:val="CM2"/>
    <w:basedOn w:val="1"/>
    <w:next w:val="1"/>
    <w:uiPriority w:val="0"/>
    <w:pPr>
      <w:autoSpaceDE w:val="0"/>
      <w:autoSpaceDN w:val="0"/>
      <w:adjustRightInd w:val="0"/>
      <w:spacing w:line="626" w:lineRule="atLeast"/>
      <w:jc w:val="left"/>
    </w:pPr>
    <w:rPr>
      <w:rFonts w:ascii="Times New Roman PSMT" w:hAnsi="Calibri" w:eastAsia="Times New Roman PSMT"/>
      <w:kern w:val="0"/>
      <w:sz w:val="24"/>
    </w:rPr>
  </w:style>
  <w:style w:type="paragraph" w:customStyle="1" w:styleId="27">
    <w:name w:val="样式 方正仿宋_GBK 三号 行距: 固定值 23 磅"/>
    <w:basedOn w:val="1"/>
    <w:uiPriority w:val="0"/>
    <w:pPr>
      <w:snapToGrid w:val="0"/>
      <w:ind w:firstLine="200" w:firstLineChars="200"/>
    </w:pPr>
    <w:rPr>
      <w:rFonts w:ascii="方正仿宋_GBK" w:hAnsi="宋体" w:eastAsia="方正仿宋_GBK"/>
      <w:sz w:val="32"/>
    </w:rPr>
  </w:style>
  <w:style w:type="paragraph" w:styleId="28">
    <w:name w:val=""/>
    <w:basedOn w:val="2"/>
    <w:next w:val="1"/>
    <w:uiPriority w:val="0"/>
    <w:pPr>
      <w:widowControl/>
      <w:adjustRightInd/>
      <w:snapToGrid/>
      <w:spacing w:before="480" w:beforeLines="0" w:beforeAutospacing="0" w:line="276" w:lineRule="auto"/>
      <w:ind w:firstLine="0" w:firstLineChars="0"/>
      <w:outlineLvl w:val="9"/>
    </w:pPr>
    <w:rPr>
      <w:rFonts w:ascii="Cambria" w:hAnsi="Cambria" w:eastAsia="宋体"/>
      <w:color w:val="365F91"/>
      <w:kern w:val="0"/>
      <w:sz w:val="28"/>
    </w:rPr>
  </w:style>
  <w:style w:type="character" w:customStyle="1" w:styleId="29">
    <w:name w:val="标题 1 Char Char"/>
    <w:link w:val="2"/>
    <w:uiPriority w:val="0"/>
    <w:rPr>
      <w:rFonts w:eastAsia="华文仿宋"/>
      <w:b/>
      <w:kern w:val="44"/>
      <w:sz w:val="32"/>
    </w:rPr>
  </w:style>
  <w:style w:type="character" w:customStyle="1" w:styleId="30">
    <w:name w:val="脚注文本 Char Char Char"/>
    <w:uiPriority w:val="0"/>
    <w:rPr>
      <w:kern w:val="2"/>
      <w:sz w:val="18"/>
    </w:rPr>
  </w:style>
  <w:style w:type="character" w:customStyle="1" w:styleId="31">
    <w:name w:val="文档结构图 Char Char"/>
    <w:link w:val="5"/>
    <w:uiPriority w:val="0"/>
    <w:rPr>
      <w:rFonts w:ascii="宋体"/>
      <w:kern w:val="2"/>
      <w:sz w:val="18"/>
    </w:rPr>
  </w:style>
  <w:style w:type="character" w:customStyle="1" w:styleId="32">
    <w:name w:val="批注文字 Char Char"/>
    <w:link w:val="4"/>
    <w:uiPriority w:val="0"/>
    <w:rPr>
      <w:kern w:val="2"/>
      <w:sz w:val="21"/>
    </w:rPr>
  </w:style>
  <w:style w:type="character" w:customStyle="1" w:styleId="33">
    <w:name w:val="页脚 Char Char"/>
    <w:link w:val="13"/>
    <w:uiPriority w:val="0"/>
    <w:rPr>
      <w:kern w:val="2"/>
      <w:sz w:val="18"/>
    </w:rPr>
  </w:style>
  <w:style w:type="character" w:customStyle="1" w:styleId="34">
    <w:name w:val="批注主题 Char Char"/>
    <w:link w:val="3"/>
    <w:uiPriority w:val="0"/>
    <w:rPr>
      <w:b/>
      <w:kern w:val="2"/>
      <w:sz w:val="21"/>
    </w:rPr>
  </w:style>
  <w:style w:type="character" w:customStyle="1" w:styleId="35">
    <w:name w:val="脚注文本 Char Char"/>
    <w:link w:val="16"/>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1533</Words>
  <Characters>8739</Characters>
  <Lines>72</Lines>
  <Paragraphs>20</Paragraphs>
  <TotalTime>0</TotalTime>
  <ScaleCrop>false</ScaleCrop>
  <LinksUpToDate>false</LinksUpToDate>
  <CharactersWithSpaces>10252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2014-12-26T22:09:00Z</dcterms:created>
  <dc:creator>邢志明 校对</dc:creator>
  <cp:lastModifiedBy>黄立挺</cp:lastModifiedBy>
  <cp:lastPrinted>2012-08-06T04:37:00Z</cp:lastPrinted>
  <dcterms:modified xsi:type="dcterms:W3CDTF">2019-02-19T08:20:15Z</dcterms:modified>
  <dc:title>合同编号：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