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eastAsia="宋体" w:cs="宋体"/>
          <w:b/>
          <w:bCs/>
          <w:color w:val="auto"/>
          <w:kern w:val="36"/>
          <w:sz w:val="30"/>
          <w:szCs w:val="30"/>
          <w:highlight w:val="none"/>
        </w:rPr>
      </w:pPr>
      <w:bookmarkStart w:id="0" w:name="_Toc4223"/>
      <w:r>
        <w:rPr>
          <w:rFonts w:hint="eastAsia" w:ascii="宋体" w:hAnsi="宋体" w:eastAsia="宋体" w:cs="新宋体"/>
          <w:b/>
          <w:color w:val="auto"/>
          <w:kern w:val="44"/>
          <w:sz w:val="30"/>
          <w:szCs w:val="30"/>
          <w:highlight w:val="none"/>
        </w:rPr>
        <w:t>关于</w:t>
      </w:r>
      <w:r>
        <w:rPr>
          <w:rFonts w:hint="eastAsia" w:ascii="宋体" w:hAnsi="宋体" w:eastAsia="宋体" w:cs="新宋体"/>
          <w:b/>
          <w:color w:val="auto"/>
          <w:kern w:val="44"/>
          <w:sz w:val="30"/>
          <w:szCs w:val="30"/>
          <w:highlight w:val="none"/>
          <w:lang w:eastAsia="zh-CN"/>
        </w:rPr>
        <w:t>中共永嘉县委社会工作部基本户竞争性开户</w:t>
      </w:r>
      <w:r>
        <w:rPr>
          <w:rFonts w:hint="eastAsia" w:ascii="宋体" w:hAnsi="宋体" w:eastAsia="宋体" w:cs="新宋体"/>
          <w:b/>
          <w:color w:val="auto"/>
          <w:kern w:val="44"/>
          <w:sz w:val="30"/>
          <w:szCs w:val="30"/>
          <w:highlight w:val="none"/>
        </w:rPr>
        <w:t>的公开招标公告</w:t>
      </w:r>
      <w:bookmarkEnd w:id="0"/>
    </w:p>
    <w:p>
      <w:pPr>
        <w:widowControl/>
        <w:overflowPunct w:val="0"/>
        <w:autoSpaceDE w:val="0"/>
        <w:autoSpaceDN w:val="0"/>
        <w:adjustRightInd w:val="0"/>
        <w:jc w:val="center"/>
        <w:textAlignment w:val="baseline"/>
        <w:rPr>
          <w:rFonts w:hint="eastAsia" w:ascii="宋体" w:hAnsi="宋体" w:eastAsia="宋体" w:cs="Times New Roman"/>
          <w:color w:val="auto"/>
          <w:kern w:val="0"/>
          <w:sz w:val="30"/>
          <w:szCs w:val="30"/>
          <w:highlight w:val="none"/>
          <w:lang w:eastAsia="zh-CN"/>
        </w:rPr>
      </w:pPr>
      <w:r>
        <w:rPr>
          <w:rFonts w:hint="eastAsia" w:ascii="宋体" w:hAnsi="宋体" w:eastAsia="宋体" w:cs="Times New Roman"/>
          <w:color w:val="auto"/>
          <w:kern w:val="0"/>
          <w:sz w:val="30"/>
          <w:szCs w:val="30"/>
          <w:highlight w:val="none"/>
        </w:rPr>
        <w:t>编号：</w:t>
      </w:r>
      <w:r>
        <w:rPr>
          <w:rFonts w:hint="eastAsia" w:ascii="宋体" w:hAnsi="宋体" w:eastAsia="宋体" w:cs="Arial"/>
          <w:snapToGrid w:val="0"/>
          <w:color w:val="auto"/>
          <w:kern w:val="0"/>
          <w:sz w:val="30"/>
          <w:szCs w:val="30"/>
          <w:highlight w:val="none"/>
          <w:lang w:eastAsia="zh-CN"/>
        </w:rPr>
        <w:t>YJSH-20240417</w:t>
      </w:r>
    </w:p>
    <w:p>
      <w:pPr>
        <w:widowControl/>
        <w:overflowPunct w:val="0"/>
        <w:autoSpaceDE w:val="0"/>
        <w:autoSpaceDN w:val="0"/>
        <w:adjustRightInd w:val="0"/>
        <w:spacing w:line="360" w:lineRule="auto"/>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各有关银行：</w:t>
      </w:r>
    </w:p>
    <w:p>
      <w:pPr>
        <w:widowControl/>
        <w:overflowPunct w:val="0"/>
        <w:autoSpaceDE w:val="0"/>
        <w:autoSpaceDN w:val="0"/>
        <w:adjustRightInd w:val="0"/>
        <w:spacing w:line="360" w:lineRule="auto"/>
        <w:ind w:firstLine="600" w:firstLineChars="200"/>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根据《关于防止领导干部在公款存放方面发生利益冲突和利益输送的办法》(浙委办发〔2015〕8号)、《浙江省省级行政事业单位公款竞争性存放管理》（浙财预执〔2021〕7号）、</w:t>
      </w:r>
      <w:r>
        <w:rPr>
          <w:rFonts w:hint="eastAsia" w:ascii="宋体" w:hAnsi="宋体" w:eastAsia="宋体" w:cs="Times New Roman"/>
          <w:color w:val="auto"/>
          <w:kern w:val="0"/>
          <w:sz w:val="30"/>
          <w:szCs w:val="30"/>
          <w:highlight w:val="none"/>
          <w:lang w:eastAsia="zh-CN"/>
        </w:rPr>
        <w:t>《永嘉县财政局关于印发永嘉县县级行政事业单位公款竞争性存放管理办法的通知》（永财预执〔2022〕203号）</w:t>
      </w:r>
      <w:r>
        <w:rPr>
          <w:rFonts w:hint="eastAsia" w:ascii="宋体" w:hAnsi="宋体" w:eastAsia="宋体" w:cs="Times New Roman"/>
          <w:color w:val="auto"/>
          <w:kern w:val="0"/>
          <w:sz w:val="30"/>
          <w:szCs w:val="30"/>
          <w:highlight w:val="none"/>
        </w:rPr>
        <w:t>文件规定，结合单位实际情况，</w:t>
      </w:r>
      <w:r>
        <w:rPr>
          <w:rFonts w:hint="eastAsia" w:ascii="宋体" w:hAnsi="宋体" w:eastAsia="宋体" w:cs="Times New Roman"/>
          <w:kern w:val="0"/>
          <w:sz w:val="30"/>
          <w:szCs w:val="30"/>
        </w:rPr>
        <w:t>开展本单位竞争性开户招投标工作，</w:t>
      </w:r>
      <w:r>
        <w:rPr>
          <w:rFonts w:hint="eastAsia" w:ascii="宋体" w:hAnsi="宋体" w:eastAsia="宋体" w:cs="Times New Roman"/>
          <w:color w:val="auto"/>
          <w:kern w:val="0"/>
          <w:sz w:val="30"/>
          <w:szCs w:val="30"/>
          <w:highlight w:val="none"/>
        </w:rPr>
        <w:t>特邀请相关银行机构参加本次招投标。</w:t>
      </w:r>
    </w:p>
    <w:p>
      <w:pPr>
        <w:widowControl/>
        <w:numPr>
          <w:ilvl w:val="0"/>
          <w:numId w:val="1"/>
        </w:numPr>
        <w:overflowPunct w:val="0"/>
        <w:autoSpaceDE w:val="0"/>
        <w:autoSpaceDN w:val="0"/>
        <w:adjustRightInd w:val="0"/>
        <w:spacing w:line="360" w:lineRule="auto"/>
        <w:ind w:left="300" w:leftChars="0" w:firstLine="0" w:firstLineChars="0"/>
        <w:textAlignment w:val="baseline"/>
        <w:rPr>
          <w:rFonts w:hint="eastAsia"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 招标内容：</w:t>
      </w:r>
    </w:p>
    <w:p>
      <w:pPr>
        <w:widowControl/>
        <w:overflowPunct w:val="0"/>
        <w:autoSpaceDE w:val="0"/>
        <w:autoSpaceDN w:val="0"/>
        <w:adjustRightInd w:val="0"/>
        <w:spacing w:line="360" w:lineRule="auto"/>
        <w:ind w:firstLine="600" w:firstLineChars="200"/>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竞争标的为</w:t>
      </w:r>
      <w:r>
        <w:rPr>
          <w:rFonts w:hint="eastAsia" w:ascii="宋体" w:hAnsi="宋体" w:eastAsia="宋体" w:cs="Times New Roman"/>
          <w:color w:val="auto"/>
          <w:kern w:val="0"/>
          <w:sz w:val="30"/>
          <w:szCs w:val="30"/>
          <w:highlight w:val="none"/>
          <w:lang w:eastAsia="zh-CN"/>
        </w:rPr>
        <w:t>中共永嘉县委社会工作部基本户竞争性开户</w:t>
      </w:r>
      <w:r>
        <w:rPr>
          <w:rFonts w:hint="eastAsia" w:ascii="宋体" w:hAnsi="宋体" w:eastAsia="宋体" w:cs="Times New Roman"/>
          <w:color w:val="auto"/>
          <w:kern w:val="0"/>
          <w:sz w:val="30"/>
          <w:szCs w:val="30"/>
          <w:highlight w:val="none"/>
        </w:rPr>
        <w:t>受理银行，此次招标最终选择1家银行，综合得分第一名为中标银行。</w:t>
      </w:r>
    </w:p>
    <w:p>
      <w:pPr>
        <w:widowControl/>
        <w:numPr>
          <w:ilvl w:val="0"/>
          <w:numId w:val="2"/>
        </w:numPr>
        <w:overflowPunct w:val="0"/>
        <w:autoSpaceDE w:val="0"/>
        <w:autoSpaceDN w:val="0"/>
        <w:adjustRightInd w:val="0"/>
        <w:spacing w:line="360" w:lineRule="auto"/>
        <w:textAlignment w:val="baseline"/>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投标人资格要求：</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1、在</w:t>
      </w:r>
      <w:r>
        <w:rPr>
          <w:rFonts w:hint="eastAsia" w:ascii="宋体" w:hAnsi="宋体" w:eastAsia="宋体" w:cs="Times New Roman"/>
          <w:color w:val="auto"/>
          <w:kern w:val="0"/>
          <w:sz w:val="30"/>
          <w:szCs w:val="30"/>
          <w:highlight w:val="none"/>
          <w:lang w:eastAsia="zh-CN"/>
        </w:rPr>
        <w:t>中共永嘉县委社会工作部</w:t>
      </w:r>
      <w:r>
        <w:rPr>
          <w:rFonts w:hint="eastAsia" w:ascii="宋体" w:hAnsi="宋体" w:eastAsia="宋体" w:cs="Times New Roman"/>
          <w:color w:val="auto"/>
          <w:kern w:val="0"/>
          <w:sz w:val="30"/>
          <w:szCs w:val="30"/>
          <w:highlight w:val="none"/>
        </w:rPr>
        <w:t>所在同城设有分支机构，且法律、法规没有限制的国有商业银行、股份制商业银行、邮政储蓄银行、城市商业银行、农村商业银行、农村合作银行、村镇银行、农村信用社及政策性银行；</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2、依法开展经营活动，内部管理机制健全，具有较强的风险控制能力，近3年内在经营活动中无重大违法违规记录、未发生金融风险及重大违约事件；</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lang w:eastAsia="zh-CN"/>
        </w:rPr>
      </w:pPr>
      <w:r>
        <w:rPr>
          <w:rFonts w:hint="eastAsia" w:ascii="宋体" w:hAnsi="宋体" w:eastAsia="宋体" w:cs="Times New Roman"/>
          <w:color w:val="auto"/>
          <w:kern w:val="0"/>
          <w:sz w:val="30"/>
          <w:szCs w:val="30"/>
          <w:highlight w:val="none"/>
        </w:rPr>
        <w:t>3、最近考评期人民银行年度综合评价为B级及以上（不纳入人民银行评级范围的银行不受此限制）</w:t>
      </w:r>
      <w:r>
        <w:rPr>
          <w:rFonts w:hint="eastAsia" w:ascii="宋体" w:hAnsi="宋体" w:eastAsia="宋体" w:cs="Times New Roman"/>
          <w:color w:val="auto"/>
          <w:kern w:val="0"/>
          <w:sz w:val="30"/>
          <w:szCs w:val="30"/>
          <w:highlight w:val="none"/>
          <w:lang w:eastAsia="zh-CN"/>
        </w:rPr>
        <w:t>；</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lang w:val="en-US" w:eastAsia="zh-CN"/>
        </w:rPr>
        <w:t>4、</w:t>
      </w:r>
      <w:r>
        <w:rPr>
          <w:rFonts w:hint="eastAsia" w:ascii="宋体" w:hAnsi="宋体" w:eastAsia="宋体" w:cs="Times New Roman"/>
          <w:color w:val="auto"/>
          <w:kern w:val="0"/>
          <w:sz w:val="30"/>
          <w:szCs w:val="30"/>
          <w:highlight w:val="none"/>
        </w:rPr>
        <w:t>本次招标每家银行有且只能有一个主体参与投标；</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lang w:val="en-US" w:eastAsia="zh-CN"/>
        </w:rPr>
        <w:t>5</w:t>
      </w:r>
      <w:r>
        <w:rPr>
          <w:rFonts w:hint="eastAsia" w:ascii="宋体" w:hAnsi="宋体" w:eastAsia="宋体" w:cs="Times New Roman"/>
          <w:color w:val="auto"/>
          <w:kern w:val="0"/>
          <w:sz w:val="30"/>
          <w:szCs w:val="30"/>
          <w:highlight w:val="none"/>
        </w:rPr>
        <w:t>、本项目谢绝联合体投标。</w:t>
      </w:r>
    </w:p>
    <w:p>
      <w:pPr>
        <w:widowControl/>
        <w:overflowPunct w:val="0"/>
        <w:autoSpaceDE w:val="0"/>
        <w:autoSpaceDN w:val="0"/>
        <w:adjustRightInd w:val="0"/>
        <w:spacing w:line="360" w:lineRule="auto"/>
        <w:textAlignment w:val="baseline"/>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三、投标前须提交以下文件资料（须装订成册）：</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1、供应商联系表 ；</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2、法人指标反向测评</w:t>
      </w:r>
      <w:r>
        <w:rPr>
          <w:rFonts w:hint="eastAsia" w:ascii="宋体" w:hAnsi="宋体" w:eastAsia="宋体" w:cs="Times New Roman"/>
          <w:color w:val="auto"/>
          <w:kern w:val="0"/>
          <w:sz w:val="30"/>
          <w:szCs w:val="30"/>
          <w:highlight w:val="none"/>
          <w:lang w:val="en-US" w:eastAsia="zh-CN"/>
        </w:rPr>
        <w:t>承诺表</w:t>
      </w:r>
      <w:r>
        <w:rPr>
          <w:rFonts w:hint="eastAsia" w:ascii="宋体" w:hAnsi="宋体" w:eastAsia="宋体" w:cs="Times New Roman"/>
          <w:color w:val="auto"/>
          <w:kern w:val="0"/>
          <w:sz w:val="30"/>
          <w:szCs w:val="30"/>
          <w:highlight w:val="none"/>
        </w:rPr>
        <w:t>；</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lang w:eastAsia="zh-CN"/>
        </w:rPr>
      </w:pPr>
      <w:r>
        <w:rPr>
          <w:rFonts w:hint="eastAsia" w:ascii="宋体" w:hAnsi="宋体" w:eastAsia="宋体" w:cs="Times New Roman"/>
          <w:color w:val="auto"/>
          <w:kern w:val="0"/>
          <w:sz w:val="30"/>
          <w:szCs w:val="30"/>
          <w:highlight w:val="none"/>
        </w:rPr>
        <w:t>3、最近考评期人民银行年度综合评价为B级及以上</w:t>
      </w:r>
      <w:r>
        <w:rPr>
          <w:rFonts w:hint="eastAsia" w:ascii="宋体" w:hAnsi="宋体" w:eastAsia="宋体" w:cs="Times New Roman"/>
          <w:color w:val="auto"/>
          <w:kern w:val="0"/>
          <w:sz w:val="30"/>
          <w:szCs w:val="30"/>
          <w:highlight w:val="none"/>
          <w:lang w:eastAsia="zh-CN"/>
        </w:rPr>
        <w:t>；</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lang w:val="en-US" w:eastAsia="zh-CN"/>
        </w:rPr>
        <w:t>4</w:t>
      </w:r>
      <w:r>
        <w:rPr>
          <w:rFonts w:hint="eastAsia" w:ascii="宋体" w:hAnsi="宋体" w:eastAsia="宋体" w:cs="Times New Roman"/>
          <w:color w:val="auto"/>
          <w:kern w:val="0"/>
          <w:sz w:val="30"/>
          <w:szCs w:val="30"/>
          <w:highlight w:val="none"/>
        </w:rPr>
        <w:t>、廉政承诺书；</w:t>
      </w:r>
    </w:p>
    <w:p>
      <w:pPr>
        <w:widowControl/>
        <w:overflowPunct w:val="0"/>
        <w:autoSpaceDE w:val="0"/>
        <w:autoSpaceDN w:val="0"/>
        <w:adjustRightInd w:val="0"/>
        <w:spacing w:line="360" w:lineRule="auto"/>
        <w:ind w:left="422" w:leftChars="201"/>
        <w:textAlignment w:val="baseline"/>
        <w:rPr>
          <w:rFonts w:hint="eastAsia" w:eastAsia="宋体"/>
          <w:color w:val="auto"/>
          <w:highlight w:val="none"/>
          <w:lang w:val="en-US" w:eastAsia="zh-CN"/>
        </w:rPr>
      </w:pPr>
      <w:r>
        <w:rPr>
          <w:rFonts w:hint="eastAsia" w:ascii="宋体" w:hAnsi="宋体" w:eastAsia="宋体" w:cs="Times New Roman"/>
          <w:color w:val="auto"/>
          <w:kern w:val="0"/>
          <w:sz w:val="30"/>
          <w:szCs w:val="30"/>
          <w:highlight w:val="none"/>
          <w:lang w:val="en-US" w:eastAsia="zh-CN"/>
        </w:rPr>
        <w:t>5、日常服务承诺</w:t>
      </w:r>
      <w:bookmarkStart w:id="1" w:name="_GoBack"/>
      <w:bookmarkEnd w:id="1"/>
      <w:r>
        <w:rPr>
          <w:rFonts w:hint="eastAsia" w:ascii="宋体" w:hAnsi="宋体" w:eastAsia="宋体" w:cs="Times New Roman"/>
          <w:color w:val="auto"/>
          <w:kern w:val="0"/>
          <w:sz w:val="30"/>
          <w:szCs w:val="30"/>
          <w:highlight w:val="none"/>
          <w:lang w:val="en-US" w:eastAsia="zh-CN"/>
        </w:rPr>
        <w:t>表；</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lang w:val="en-US" w:eastAsia="zh-CN"/>
        </w:rPr>
        <w:t>6</w:t>
      </w:r>
      <w:r>
        <w:rPr>
          <w:rFonts w:hint="eastAsia" w:ascii="宋体" w:hAnsi="宋体" w:eastAsia="宋体" w:cs="Times New Roman"/>
          <w:color w:val="auto"/>
          <w:kern w:val="0"/>
          <w:sz w:val="30"/>
          <w:szCs w:val="30"/>
          <w:highlight w:val="none"/>
        </w:rPr>
        <w:t>、其他相关资料。</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u w:val="none"/>
        </w:rPr>
      </w:pPr>
      <w:r>
        <w:rPr>
          <w:rFonts w:hint="eastAsia" w:ascii="宋体" w:hAnsi="宋体" w:eastAsia="宋体" w:cs="Times New Roman"/>
          <w:color w:val="auto"/>
          <w:kern w:val="0"/>
          <w:sz w:val="30"/>
          <w:szCs w:val="30"/>
          <w:highlight w:val="none"/>
          <w:u w:val="none"/>
        </w:rPr>
        <w:t>注：以上材料均需加盖公章，材料递交地点为温州市永嘉县南城街道环城北路618号云碓大厦503室。</w:t>
      </w:r>
    </w:p>
    <w:p>
      <w:pPr>
        <w:widowControl/>
        <w:overflowPunct w:val="0"/>
        <w:autoSpaceDE w:val="0"/>
        <w:autoSpaceDN w:val="0"/>
        <w:adjustRightInd w:val="0"/>
        <w:spacing w:line="360" w:lineRule="auto"/>
        <w:textAlignment w:val="baseline"/>
        <w:rPr>
          <w:rFonts w:ascii="宋体" w:hAnsi="宋体" w:eastAsia="宋体" w:cs="Times New Roman"/>
          <w:color w:val="auto"/>
          <w:kern w:val="0"/>
          <w:sz w:val="30"/>
          <w:szCs w:val="30"/>
          <w:highlight w:val="none"/>
          <w:u w:val="none"/>
        </w:rPr>
      </w:pPr>
      <w:r>
        <w:rPr>
          <w:rFonts w:hint="eastAsia" w:ascii="宋体" w:hAnsi="宋体" w:eastAsia="宋体" w:cs="Times New Roman"/>
          <w:b/>
          <w:color w:val="auto"/>
          <w:kern w:val="0"/>
          <w:sz w:val="30"/>
          <w:szCs w:val="30"/>
          <w:highlight w:val="none"/>
          <w:u w:val="none"/>
        </w:rPr>
        <w:t>四、递交投标文件截止时间及地点</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u w:val="none"/>
        </w:rPr>
      </w:pPr>
      <w:r>
        <w:rPr>
          <w:rFonts w:hint="eastAsia" w:ascii="宋体" w:hAnsi="宋体" w:eastAsia="宋体" w:cs="Times New Roman"/>
          <w:color w:val="auto"/>
          <w:kern w:val="0"/>
          <w:sz w:val="30"/>
          <w:szCs w:val="30"/>
          <w:highlight w:val="none"/>
          <w:u w:val="none"/>
          <w:lang w:val="en-US" w:eastAsia="zh-CN"/>
        </w:rPr>
        <w:t>1</w:t>
      </w:r>
      <w:r>
        <w:rPr>
          <w:rFonts w:hint="eastAsia" w:ascii="宋体" w:hAnsi="宋体" w:eastAsia="宋体" w:cs="Times New Roman"/>
          <w:color w:val="auto"/>
          <w:kern w:val="0"/>
          <w:sz w:val="30"/>
          <w:szCs w:val="30"/>
          <w:highlight w:val="none"/>
          <w:u w:val="none"/>
        </w:rPr>
        <w:t>、投标文件递交时间</w:t>
      </w:r>
      <w:r>
        <w:rPr>
          <w:rFonts w:ascii="宋体" w:hAnsi="宋体" w:eastAsia="宋体" w:cs="Times New Roman"/>
          <w:color w:val="auto"/>
          <w:kern w:val="0"/>
          <w:sz w:val="30"/>
          <w:szCs w:val="30"/>
          <w:highlight w:val="none"/>
          <w:u w:val="none"/>
        </w:rPr>
        <w:t>202</w:t>
      </w:r>
      <w:r>
        <w:rPr>
          <w:rFonts w:hint="eastAsia" w:ascii="宋体" w:hAnsi="宋体" w:eastAsia="宋体" w:cs="Times New Roman"/>
          <w:color w:val="auto"/>
          <w:kern w:val="0"/>
          <w:sz w:val="30"/>
          <w:szCs w:val="30"/>
          <w:highlight w:val="none"/>
          <w:u w:val="none"/>
          <w:lang w:val="en-US" w:eastAsia="zh-CN"/>
        </w:rPr>
        <w:t>4</w:t>
      </w:r>
      <w:r>
        <w:rPr>
          <w:rFonts w:ascii="宋体" w:hAnsi="宋体" w:eastAsia="宋体" w:cs="Times New Roman"/>
          <w:color w:val="auto"/>
          <w:kern w:val="0"/>
          <w:sz w:val="30"/>
          <w:szCs w:val="30"/>
          <w:highlight w:val="none"/>
          <w:u w:val="none"/>
        </w:rPr>
        <w:t>年</w:t>
      </w:r>
      <w:r>
        <w:rPr>
          <w:rFonts w:hint="eastAsia" w:ascii="宋体" w:hAnsi="宋体" w:eastAsia="宋体" w:cs="Times New Roman"/>
          <w:color w:val="auto"/>
          <w:kern w:val="0"/>
          <w:sz w:val="30"/>
          <w:szCs w:val="30"/>
          <w:highlight w:val="none"/>
          <w:u w:val="none"/>
          <w:lang w:val="en-US" w:eastAsia="zh-CN"/>
        </w:rPr>
        <w:t>4</w:t>
      </w:r>
      <w:r>
        <w:rPr>
          <w:rFonts w:ascii="宋体" w:hAnsi="宋体" w:eastAsia="宋体" w:cs="Times New Roman"/>
          <w:color w:val="auto"/>
          <w:kern w:val="0"/>
          <w:sz w:val="30"/>
          <w:szCs w:val="30"/>
          <w:highlight w:val="none"/>
          <w:u w:val="none"/>
        </w:rPr>
        <w:t>月</w:t>
      </w:r>
      <w:r>
        <w:rPr>
          <w:rFonts w:hint="eastAsia" w:ascii="宋体" w:hAnsi="宋体" w:eastAsia="宋体" w:cs="Times New Roman"/>
          <w:color w:val="auto"/>
          <w:kern w:val="0"/>
          <w:sz w:val="30"/>
          <w:szCs w:val="30"/>
          <w:highlight w:val="none"/>
          <w:u w:val="none"/>
          <w:lang w:val="en-US" w:eastAsia="zh-CN"/>
        </w:rPr>
        <w:t>25</w:t>
      </w:r>
      <w:r>
        <w:rPr>
          <w:rFonts w:ascii="宋体" w:hAnsi="宋体" w:eastAsia="宋体" w:cs="Times New Roman"/>
          <w:color w:val="auto"/>
          <w:kern w:val="0"/>
          <w:sz w:val="30"/>
          <w:szCs w:val="30"/>
          <w:highlight w:val="none"/>
          <w:u w:val="none"/>
        </w:rPr>
        <w:t>日</w:t>
      </w:r>
      <w:r>
        <w:rPr>
          <w:rFonts w:hint="eastAsia" w:ascii="宋体" w:hAnsi="宋体" w:eastAsia="宋体" w:cs="Times New Roman"/>
          <w:color w:val="auto"/>
          <w:kern w:val="0"/>
          <w:sz w:val="30"/>
          <w:szCs w:val="30"/>
          <w:highlight w:val="none"/>
          <w:u w:val="none"/>
          <w:lang w:val="en-US" w:eastAsia="zh-CN"/>
        </w:rPr>
        <w:t>14</w:t>
      </w:r>
      <w:r>
        <w:rPr>
          <w:rFonts w:ascii="宋体" w:hAnsi="宋体" w:eastAsia="宋体" w:cs="Times New Roman"/>
          <w:color w:val="auto"/>
          <w:kern w:val="0"/>
          <w:sz w:val="30"/>
          <w:szCs w:val="30"/>
          <w:highlight w:val="none"/>
          <w:u w:val="none"/>
        </w:rPr>
        <w:t>:</w:t>
      </w:r>
      <w:r>
        <w:rPr>
          <w:rFonts w:hint="eastAsia" w:ascii="宋体" w:hAnsi="宋体" w:eastAsia="宋体" w:cs="Times New Roman"/>
          <w:color w:val="auto"/>
          <w:kern w:val="0"/>
          <w:sz w:val="30"/>
          <w:szCs w:val="30"/>
          <w:highlight w:val="none"/>
          <w:u w:val="none"/>
          <w:lang w:val="en-US" w:eastAsia="zh-CN"/>
        </w:rPr>
        <w:t>0</w:t>
      </w:r>
      <w:r>
        <w:rPr>
          <w:rFonts w:ascii="宋体" w:hAnsi="宋体" w:eastAsia="宋体" w:cs="Times New Roman"/>
          <w:color w:val="auto"/>
          <w:kern w:val="0"/>
          <w:sz w:val="30"/>
          <w:szCs w:val="30"/>
          <w:highlight w:val="none"/>
          <w:u w:val="none"/>
        </w:rPr>
        <w:t>0-</w:t>
      </w:r>
      <w:r>
        <w:rPr>
          <w:rFonts w:hint="eastAsia" w:ascii="宋体" w:hAnsi="宋体" w:eastAsia="宋体" w:cs="Times New Roman"/>
          <w:color w:val="auto"/>
          <w:kern w:val="0"/>
          <w:sz w:val="30"/>
          <w:szCs w:val="30"/>
          <w:highlight w:val="none"/>
          <w:u w:val="none"/>
          <w:lang w:val="en-US" w:eastAsia="zh-CN"/>
        </w:rPr>
        <w:t>14</w:t>
      </w:r>
      <w:r>
        <w:rPr>
          <w:rFonts w:ascii="宋体" w:hAnsi="宋体" w:eastAsia="宋体" w:cs="Times New Roman"/>
          <w:color w:val="auto"/>
          <w:kern w:val="0"/>
          <w:sz w:val="30"/>
          <w:szCs w:val="30"/>
          <w:highlight w:val="none"/>
          <w:u w:val="none"/>
        </w:rPr>
        <w:t>:30分整</w:t>
      </w:r>
      <w:r>
        <w:rPr>
          <w:rFonts w:hint="eastAsia" w:ascii="宋体" w:hAnsi="宋体" w:eastAsia="宋体" w:cs="Times New Roman"/>
          <w:color w:val="auto"/>
          <w:kern w:val="0"/>
          <w:sz w:val="30"/>
          <w:szCs w:val="30"/>
          <w:highlight w:val="none"/>
          <w:u w:val="none"/>
        </w:rPr>
        <w:t>，提前10分钟办理签到入场；</w:t>
      </w:r>
    </w:p>
    <w:p>
      <w:pPr>
        <w:widowControl/>
        <w:overflowPunct w:val="0"/>
        <w:autoSpaceDE w:val="0"/>
        <w:autoSpaceDN w:val="0"/>
        <w:adjustRightInd w:val="0"/>
        <w:spacing w:line="360" w:lineRule="auto"/>
        <w:ind w:left="422" w:leftChars="201" w:firstLine="450" w:firstLineChars="150"/>
        <w:textAlignment w:val="baseline"/>
        <w:rPr>
          <w:rFonts w:ascii="宋体" w:hAnsi="宋体" w:eastAsia="宋体" w:cs="Times New Roman"/>
          <w:color w:val="auto"/>
          <w:kern w:val="0"/>
          <w:sz w:val="30"/>
          <w:szCs w:val="30"/>
          <w:highlight w:val="none"/>
          <w:u w:val="none"/>
        </w:rPr>
      </w:pPr>
      <w:r>
        <w:rPr>
          <w:rFonts w:hint="eastAsia" w:ascii="宋体" w:hAnsi="宋体" w:eastAsia="宋体" w:cs="Times New Roman"/>
          <w:color w:val="auto"/>
          <w:kern w:val="0"/>
          <w:sz w:val="30"/>
          <w:szCs w:val="30"/>
          <w:highlight w:val="none"/>
          <w:u w:val="none"/>
        </w:rPr>
        <w:t>投标文件递交截止时间：</w:t>
      </w:r>
      <w:r>
        <w:rPr>
          <w:rFonts w:ascii="宋体" w:hAnsi="宋体" w:eastAsia="宋体" w:cs="Times New Roman"/>
          <w:color w:val="auto"/>
          <w:kern w:val="0"/>
          <w:sz w:val="30"/>
          <w:szCs w:val="30"/>
          <w:highlight w:val="none"/>
          <w:u w:val="none"/>
        </w:rPr>
        <w:t>202</w:t>
      </w:r>
      <w:r>
        <w:rPr>
          <w:rFonts w:hint="eastAsia" w:ascii="宋体" w:hAnsi="宋体" w:eastAsia="宋体" w:cs="Times New Roman"/>
          <w:color w:val="auto"/>
          <w:kern w:val="0"/>
          <w:sz w:val="30"/>
          <w:szCs w:val="30"/>
          <w:highlight w:val="none"/>
          <w:u w:val="none"/>
          <w:lang w:val="en-US" w:eastAsia="zh-CN"/>
        </w:rPr>
        <w:t>4</w:t>
      </w:r>
      <w:r>
        <w:rPr>
          <w:rFonts w:ascii="宋体" w:hAnsi="宋体" w:eastAsia="宋体" w:cs="Times New Roman"/>
          <w:color w:val="auto"/>
          <w:kern w:val="0"/>
          <w:sz w:val="30"/>
          <w:szCs w:val="30"/>
          <w:highlight w:val="none"/>
          <w:u w:val="none"/>
        </w:rPr>
        <w:t>年</w:t>
      </w:r>
      <w:r>
        <w:rPr>
          <w:rFonts w:hint="eastAsia" w:ascii="宋体" w:hAnsi="宋体" w:eastAsia="宋体" w:cs="Times New Roman"/>
          <w:color w:val="auto"/>
          <w:kern w:val="0"/>
          <w:sz w:val="30"/>
          <w:szCs w:val="30"/>
          <w:highlight w:val="none"/>
          <w:u w:val="none"/>
          <w:lang w:val="en-US" w:eastAsia="zh-CN"/>
        </w:rPr>
        <w:t>4</w:t>
      </w:r>
      <w:r>
        <w:rPr>
          <w:rFonts w:ascii="宋体" w:hAnsi="宋体" w:eastAsia="宋体" w:cs="Times New Roman"/>
          <w:color w:val="auto"/>
          <w:kern w:val="0"/>
          <w:sz w:val="30"/>
          <w:szCs w:val="30"/>
          <w:highlight w:val="none"/>
          <w:u w:val="none"/>
        </w:rPr>
        <w:t>月</w:t>
      </w:r>
      <w:r>
        <w:rPr>
          <w:rFonts w:hint="eastAsia" w:ascii="宋体" w:hAnsi="宋体" w:eastAsia="宋体" w:cs="Times New Roman"/>
          <w:color w:val="auto"/>
          <w:kern w:val="0"/>
          <w:sz w:val="30"/>
          <w:szCs w:val="30"/>
          <w:highlight w:val="none"/>
          <w:u w:val="none"/>
          <w:lang w:val="en-US" w:eastAsia="zh-CN"/>
        </w:rPr>
        <w:t>25</w:t>
      </w:r>
      <w:r>
        <w:rPr>
          <w:rFonts w:ascii="宋体" w:hAnsi="宋体" w:eastAsia="宋体" w:cs="Times New Roman"/>
          <w:color w:val="auto"/>
          <w:kern w:val="0"/>
          <w:sz w:val="30"/>
          <w:szCs w:val="30"/>
          <w:highlight w:val="none"/>
          <w:u w:val="none"/>
        </w:rPr>
        <w:t>日</w:t>
      </w:r>
      <w:r>
        <w:rPr>
          <w:rFonts w:hint="eastAsia" w:ascii="宋体" w:hAnsi="宋体" w:eastAsia="宋体" w:cs="Times New Roman"/>
          <w:color w:val="auto"/>
          <w:kern w:val="0"/>
          <w:sz w:val="30"/>
          <w:szCs w:val="30"/>
          <w:highlight w:val="none"/>
          <w:u w:val="none"/>
          <w:lang w:val="en-US" w:eastAsia="zh-CN"/>
        </w:rPr>
        <w:t>14</w:t>
      </w:r>
      <w:r>
        <w:rPr>
          <w:rFonts w:hint="eastAsia" w:ascii="宋体" w:hAnsi="宋体" w:eastAsia="宋体" w:cs="Times New Roman"/>
          <w:color w:val="auto"/>
          <w:kern w:val="0"/>
          <w:sz w:val="30"/>
          <w:szCs w:val="30"/>
          <w:highlight w:val="none"/>
          <w:u w:val="none"/>
        </w:rPr>
        <w:t>：3</w:t>
      </w:r>
      <w:r>
        <w:rPr>
          <w:rFonts w:ascii="宋体" w:hAnsi="宋体" w:eastAsia="宋体" w:cs="Times New Roman"/>
          <w:color w:val="auto"/>
          <w:kern w:val="0"/>
          <w:sz w:val="30"/>
          <w:szCs w:val="30"/>
          <w:highlight w:val="none"/>
          <w:u w:val="none"/>
        </w:rPr>
        <w:t>0</w:t>
      </w:r>
      <w:r>
        <w:rPr>
          <w:rFonts w:hint="eastAsia" w:ascii="宋体" w:hAnsi="宋体" w:eastAsia="宋体" w:cs="Times New Roman"/>
          <w:color w:val="auto"/>
          <w:kern w:val="0"/>
          <w:sz w:val="30"/>
          <w:szCs w:val="30"/>
          <w:highlight w:val="none"/>
          <w:u w:val="none"/>
        </w:rPr>
        <w:t>分整，超过投标文件递交截止时间取消投标资格；</w:t>
      </w:r>
    </w:p>
    <w:p>
      <w:pPr>
        <w:widowControl/>
        <w:overflowPunct w:val="0"/>
        <w:autoSpaceDE w:val="0"/>
        <w:autoSpaceDN w:val="0"/>
        <w:adjustRightInd w:val="0"/>
        <w:spacing w:line="360" w:lineRule="auto"/>
        <w:ind w:left="422" w:leftChars="201" w:firstLine="450" w:firstLineChars="150"/>
        <w:textAlignment w:val="baseline"/>
        <w:rPr>
          <w:rFonts w:ascii="宋体" w:hAnsi="宋体" w:eastAsia="宋体" w:cs="Times New Roman"/>
          <w:color w:val="auto"/>
          <w:kern w:val="0"/>
          <w:sz w:val="30"/>
          <w:szCs w:val="30"/>
          <w:highlight w:val="none"/>
          <w:u w:val="none"/>
        </w:rPr>
      </w:pPr>
      <w:r>
        <w:rPr>
          <w:rFonts w:hint="eastAsia" w:ascii="宋体" w:hAnsi="宋体" w:eastAsia="宋体" w:cs="Times New Roman"/>
          <w:color w:val="auto"/>
          <w:kern w:val="0"/>
          <w:sz w:val="30"/>
          <w:szCs w:val="30"/>
          <w:highlight w:val="none"/>
          <w:u w:val="none"/>
        </w:rPr>
        <w:t>递交地点：温州市永嘉县南城街道环城北路618号云碓大厦503室</w:t>
      </w:r>
    </w:p>
    <w:p>
      <w:pPr>
        <w:widowControl/>
        <w:overflowPunct w:val="0"/>
        <w:autoSpaceDE w:val="0"/>
        <w:autoSpaceDN w:val="0"/>
        <w:adjustRightInd w:val="0"/>
        <w:spacing w:line="360" w:lineRule="auto"/>
        <w:textAlignment w:val="baseline"/>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五、开标时间及地点</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u w:val="single"/>
        </w:rPr>
      </w:pPr>
      <w:r>
        <w:rPr>
          <w:rFonts w:hint="eastAsia" w:ascii="宋体" w:hAnsi="宋体" w:eastAsia="宋体" w:cs="Times New Roman"/>
          <w:color w:val="auto"/>
          <w:kern w:val="0"/>
          <w:sz w:val="30"/>
          <w:szCs w:val="30"/>
          <w:highlight w:val="none"/>
        </w:rPr>
        <w:t>开标时间：</w:t>
      </w:r>
      <w:r>
        <w:rPr>
          <w:rFonts w:ascii="宋体" w:hAnsi="宋体" w:eastAsia="宋体" w:cs="Times New Roman"/>
          <w:color w:val="auto"/>
          <w:kern w:val="0"/>
          <w:sz w:val="30"/>
          <w:szCs w:val="30"/>
          <w:highlight w:val="none"/>
          <w:u w:val="single"/>
        </w:rPr>
        <w:t>202</w:t>
      </w:r>
      <w:r>
        <w:rPr>
          <w:rFonts w:hint="eastAsia" w:ascii="宋体" w:hAnsi="宋体" w:eastAsia="宋体" w:cs="Times New Roman"/>
          <w:color w:val="auto"/>
          <w:kern w:val="0"/>
          <w:sz w:val="30"/>
          <w:szCs w:val="30"/>
          <w:highlight w:val="none"/>
          <w:u w:val="single"/>
          <w:lang w:val="en-US" w:eastAsia="zh-CN"/>
        </w:rPr>
        <w:t>4</w:t>
      </w:r>
      <w:r>
        <w:rPr>
          <w:rFonts w:ascii="宋体" w:hAnsi="宋体" w:eastAsia="宋体" w:cs="Times New Roman"/>
          <w:color w:val="auto"/>
          <w:kern w:val="0"/>
          <w:sz w:val="30"/>
          <w:szCs w:val="30"/>
          <w:highlight w:val="none"/>
          <w:u w:val="single"/>
        </w:rPr>
        <w:t>年</w:t>
      </w:r>
      <w:r>
        <w:rPr>
          <w:rFonts w:hint="eastAsia" w:ascii="宋体" w:hAnsi="宋体" w:eastAsia="宋体" w:cs="Times New Roman"/>
          <w:color w:val="auto"/>
          <w:kern w:val="0"/>
          <w:sz w:val="30"/>
          <w:szCs w:val="30"/>
          <w:highlight w:val="none"/>
          <w:u w:val="single"/>
          <w:lang w:val="en-US" w:eastAsia="zh-CN"/>
        </w:rPr>
        <w:t>4</w:t>
      </w:r>
      <w:r>
        <w:rPr>
          <w:rFonts w:ascii="宋体" w:hAnsi="宋体" w:eastAsia="宋体" w:cs="Times New Roman"/>
          <w:color w:val="auto"/>
          <w:kern w:val="0"/>
          <w:sz w:val="30"/>
          <w:szCs w:val="30"/>
          <w:highlight w:val="none"/>
          <w:u w:val="single"/>
        </w:rPr>
        <w:t>月</w:t>
      </w:r>
      <w:r>
        <w:rPr>
          <w:rFonts w:hint="eastAsia" w:ascii="宋体" w:hAnsi="宋体" w:eastAsia="宋体" w:cs="Times New Roman"/>
          <w:color w:val="auto"/>
          <w:kern w:val="0"/>
          <w:sz w:val="30"/>
          <w:szCs w:val="30"/>
          <w:highlight w:val="none"/>
          <w:u w:val="single"/>
          <w:lang w:val="en-US" w:eastAsia="zh-CN"/>
        </w:rPr>
        <w:t>25</w:t>
      </w:r>
      <w:r>
        <w:rPr>
          <w:rFonts w:ascii="宋体" w:hAnsi="宋体" w:eastAsia="宋体" w:cs="Times New Roman"/>
          <w:color w:val="auto"/>
          <w:kern w:val="0"/>
          <w:sz w:val="30"/>
          <w:szCs w:val="30"/>
          <w:highlight w:val="none"/>
          <w:u w:val="single"/>
        </w:rPr>
        <w:t>日</w:t>
      </w:r>
      <w:r>
        <w:rPr>
          <w:rFonts w:hint="eastAsia" w:ascii="宋体" w:hAnsi="宋体" w:eastAsia="宋体" w:cs="Times New Roman"/>
          <w:color w:val="auto"/>
          <w:kern w:val="0"/>
          <w:sz w:val="30"/>
          <w:szCs w:val="30"/>
          <w:highlight w:val="none"/>
          <w:u w:val="single"/>
          <w:lang w:val="en-US" w:eastAsia="zh-CN"/>
        </w:rPr>
        <w:t>14</w:t>
      </w:r>
      <w:r>
        <w:rPr>
          <w:rFonts w:hint="eastAsia" w:ascii="宋体" w:hAnsi="宋体" w:eastAsia="宋体" w:cs="Times New Roman"/>
          <w:color w:val="auto"/>
          <w:kern w:val="0"/>
          <w:sz w:val="30"/>
          <w:szCs w:val="30"/>
          <w:highlight w:val="none"/>
          <w:u w:val="single"/>
        </w:rPr>
        <w:t>：3</w:t>
      </w:r>
      <w:r>
        <w:rPr>
          <w:rFonts w:ascii="宋体" w:hAnsi="宋体" w:eastAsia="宋体" w:cs="Times New Roman"/>
          <w:color w:val="auto"/>
          <w:kern w:val="0"/>
          <w:sz w:val="30"/>
          <w:szCs w:val="30"/>
          <w:highlight w:val="none"/>
          <w:u w:val="single"/>
        </w:rPr>
        <w:t>0</w:t>
      </w:r>
      <w:r>
        <w:rPr>
          <w:rFonts w:hint="eastAsia" w:ascii="宋体" w:hAnsi="宋体" w:eastAsia="宋体" w:cs="Times New Roman"/>
          <w:color w:val="auto"/>
          <w:kern w:val="0"/>
          <w:sz w:val="30"/>
          <w:szCs w:val="30"/>
          <w:highlight w:val="none"/>
          <w:u w:val="single"/>
        </w:rPr>
        <w:t>分整（具体以现场实际开始时间为准）；</w:t>
      </w:r>
    </w:p>
    <w:p>
      <w:pPr>
        <w:widowControl/>
        <w:overflowPunct w:val="0"/>
        <w:autoSpaceDE w:val="0"/>
        <w:autoSpaceDN w:val="0"/>
        <w:adjustRightInd w:val="0"/>
        <w:spacing w:line="360" w:lineRule="auto"/>
        <w:ind w:left="0" w:leftChars="0" w:firstLine="416" w:firstLineChars="139"/>
        <w:textAlignment w:val="baseline"/>
        <w:rPr>
          <w:rFonts w:hint="eastAsia" w:ascii="宋体" w:hAnsi="宋体" w:eastAsia="宋体" w:cs="Times New Roman"/>
          <w:color w:val="auto"/>
          <w:kern w:val="0"/>
          <w:sz w:val="30"/>
          <w:szCs w:val="30"/>
          <w:highlight w:val="none"/>
          <w:u w:val="single"/>
        </w:rPr>
      </w:pPr>
      <w:r>
        <w:rPr>
          <w:rFonts w:hint="eastAsia" w:ascii="宋体" w:hAnsi="宋体" w:eastAsia="宋体" w:cs="Times New Roman"/>
          <w:color w:val="auto"/>
          <w:kern w:val="0"/>
          <w:sz w:val="30"/>
          <w:szCs w:val="30"/>
          <w:highlight w:val="none"/>
        </w:rPr>
        <w:t>开标地点：</w:t>
      </w:r>
      <w:r>
        <w:rPr>
          <w:rFonts w:hint="eastAsia" w:ascii="宋体" w:hAnsi="宋体" w:eastAsia="宋体" w:cs="Times New Roman"/>
          <w:color w:val="auto"/>
          <w:kern w:val="0"/>
          <w:sz w:val="30"/>
          <w:szCs w:val="30"/>
          <w:highlight w:val="none"/>
          <w:u w:val="single"/>
        </w:rPr>
        <w:t>温州市永嘉县南城街道环城北路618号云碓大厦</w:t>
      </w:r>
      <w:r>
        <w:rPr>
          <w:rFonts w:hint="eastAsia" w:ascii="宋体" w:hAnsi="宋体" w:eastAsia="宋体" w:cs="Times New Roman"/>
          <w:color w:val="auto"/>
          <w:kern w:val="0"/>
          <w:sz w:val="30"/>
          <w:szCs w:val="30"/>
          <w:highlight w:val="none"/>
          <w:u w:val="single"/>
          <w:lang w:val="en-US" w:eastAsia="zh-CN"/>
        </w:rPr>
        <w:t>楼评标</w:t>
      </w:r>
      <w:r>
        <w:rPr>
          <w:rFonts w:hint="eastAsia" w:ascii="宋体" w:hAnsi="宋体" w:eastAsia="宋体" w:cs="Times New Roman"/>
          <w:color w:val="auto"/>
          <w:kern w:val="0"/>
          <w:sz w:val="30"/>
          <w:szCs w:val="30"/>
          <w:highlight w:val="none"/>
          <w:u w:val="single"/>
        </w:rPr>
        <w:t>室</w:t>
      </w:r>
    </w:p>
    <w:p>
      <w:pPr>
        <w:widowControl/>
        <w:overflowPunct w:val="0"/>
        <w:autoSpaceDE w:val="0"/>
        <w:autoSpaceDN w:val="0"/>
        <w:adjustRightInd w:val="0"/>
        <w:spacing w:line="360" w:lineRule="auto"/>
        <w:textAlignment w:val="baseline"/>
        <w:rPr>
          <w:rFonts w:ascii="宋体" w:hAnsi="宋体" w:eastAsia="宋体" w:cs="Times New Roman"/>
          <w:color w:val="auto"/>
          <w:kern w:val="0"/>
          <w:sz w:val="30"/>
          <w:szCs w:val="30"/>
          <w:highlight w:val="none"/>
        </w:rPr>
      </w:pPr>
      <w:r>
        <w:rPr>
          <w:rFonts w:hint="eastAsia" w:ascii="宋体" w:hAnsi="宋体" w:eastAsia="宋体" w:cs="Times New Roman"/>
          <w:b/>
          <w:color w:val="auto"/>
          <w:kern w:val="0"/>
          <w:sz w:val="30"/>
          <w:szCs w:val="30"/>
          <w:highlight w:val="none"/>
        </w:rPr>
        <w:t>六、评标办法、评分指标等详见</w:t>
      </w:r>
      <w:r>
        <w:rPr>
          <w:rFonts w:hint="eastAsia" w:ascii="宋体" w:hAnsi="宋体" w:eastAsia="宋体" w:cs="Times New Roman"/>
          <w:color w:val="auto"/>
          <w:kern w:val="0"/>
          <w:sz w:val="30"/>
          <w:szCs w:val="30"/>
          <w:highlight w:val="none"/>
        </w:rPr>
        <w:t>《</w:t>
      </w:r>
      <w:r>
        <w:rPr>
          <w:rFonts w:hint="eastAsia" w:ascii="宋体" w:hAnsi="宋体" w:eastAsia="宋体" w:cs="Times New Roman"/>
          <w:color w:val="auto"/>
          <w:kern w:val="0"/>
          <w:sz w:val="30"/>
          <w:szCs w:val="30"/>
          <w:highlight w:val="none"/>
          <w:lang w:eastAsia="zh-CN"/>
        </w:rPr>
        <w:t>中共永嘉县委社会工作部基本户竞争性开户</w:t>
      </w:r>
      <w:r>
        <w:rPr>
          <w:rFonts w:hint="eastAsia" w:ascii="宋体" w:hAnsi="宋体" w:eastAsia="宋体" w:cs="Times New Roman"/>
          <w:color w:val="auto"/>
          <w:kern w:val="0"/>
          <w:sz w:val="30"/>
          <w:szCs w:val="30"/>
          <w:highlight w:val="none"/>
        </w:rPr>
        <w:t>实施方案》。</w:t>
      </w:r>
    </w:p>
    <w:p>
      <w:pPr>
        <w:widowControl/>
        <w:overflowPunct w:val="0"/>
        <w:autoSpaceDE w:val="0"/>
        <w:autoSpaceDN w:val="0"/>
        <w:adjustRightInd w:val="0"/>
        <w:spacing w:line="360" w:lineRule="auto"/>
        <w:textAlignment w:val="baseline"/>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七、其他事项：</w:t>
      </w:r>
      <w:r>
        <w:rPr>
          <w:rFonts w:hint="eastAsia" w:ascii="宋体" w:hAnsi="宋体" w:eastAsia="宋体" w:cs="Times New Roman"/>
          <w:color w:val="auto"/>
          <w:kern w:val="0"/>
          <w:sz w:val="30"/>
          <w:szCs w:val="30"/>
          <w:highlight w:val="none"/>
        </w:rPr>
        <w:t>请有意参与本次招投标的银行，在投标规定时间要求内，以密封函件的形式将《</w:t>
      </w:r>
      <w:r>
        <w:rPr>
          <w:rFonts w:hint="eastAsia" w:ascii="宋体" w:hAnsi="宋体" w:eastAsia="宋体" w:cs="Times New Roman"/>
          <w:color w:val="auto"/>
          <w:kern w:val="0"/>
          <w:sz w:val="30"/>
          <w:szCs w:val="30"/>
          <w:highlight w:val="none"/>
          <w:lang w:eastAsia="zh-CN"/>
        </w:rPr>
        <w:t>中共永嘉县委社会工作部基本户竞争性开户</w:t>
      </w:r>
      <w:r>
        <w:rPr>
          <w:rFonts w:hint="eastAsia" w:ascii="宋体" w:hAnsi="宋体" w:eastAsia="宋体" w:cs="Times New Roman"/>
          <w:color w:val="auto"/>
          <w:kern w:val="0"/>
          <w:sz w:val="30"/>
          <w:szCs w:val="30"/>
          <w:highlight w:val="none"/>
        </w:rPr>
        <w:t>投标文件》一式三份送达投标地点。投标银行主要负责人或授权的一位代表参办本次投标。</w:t>
      </w:r>
    </w:p>
    <w:p>
      <w:pPr>
        <w:widowControl/>
        <w:overflowPunct w:val="0"/>
        <w:autoSpaceDE w:val="0"/>
        <w:autoSpaceDN w:val="0"/>
        <w:adjustRightInd w:val="0"/>
        <w:spacing w:line="360" w:lineRule="auto"/>
        <w:ind w:firstLine="600" w:firstLineChars="200"/>
        <w:textAlignment w:val="baseline"/>
        <w:rPr>
          <w:rFonts w:hint="eastAsia"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(一）法人指标反向测评相关证明材料采取承诺制，由投标银行承诺填报数据的真实准确性。</w:t>
      </w:r>
    </w:p>
    <w:p>
      <w:pPr>
        <w:widowControl/>
        <w:overflowPunct w:val="0"/>
        <w:autoSpaceDE w:val="0"/>
        <w:autoSpaceDN w:val="0"/>
        <w:adjustRightInd w:val="0"/>
        <w:spacing w:line="360" w:lineRule="auto"/>
        <w:ind w:firstLine="600" w:firstLineChars="200"/>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lang w:val="en-US" w:eastAsia="zh-CN"/>
        </w:rPr>
        <w:t>(二)</w:t>
      </w:r>
      <w:r>
        <w:rPr>
          <w:rFonts w:hint="eastAsia" w:ascii="宋体" w:hAnsi="宋体" w:eastAsia="宋体" w:cs="Times New Roman"/>
          <w:color w:val="auto"/>
          <w:kern w:val="0"/>
          <w:sz w:val="30"/>
          <w:szCs w:val="30"/>
          <w:highlight w:val="none"/>
        </w:rPr>
        <w:t>标书一式三份，标书签字人必须为竞标银行主要负责人，标书必须盖公章，信封粘贴处加盖公章（或骑缝章）。</w:t>
      </w:r>
    </w:p>
    <w:p>
      <w:pPr>
        <w:widowControl/>
        <w:overflowPunct w:val="0"/>
        <w:autoSpaceDE w:val="0"/>
        <w:autoSpaceDN w:val="0"/>
        <w:adjustRightInd w:val="0"/>
        <w:spacing w:line="360" w:lineRule="auto"/>
        <w:ind w:firstLine="600" w:firstLineChars="200"/>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w:t>
      </w:r>
      <w:r>
        <w:rPr>
          <w:rFonts w:hint="eastAsia" w:ascii="宋体" w:hAnsi="宋体" w:eastAsia="宋体" w:cs="Times New Roman"/>
          <w:color w:val="auto"/>
          <w:kern w:val="0"/>
          <w:sz w:val="30"/>
          <w:szCs w:val="30"/>
          <w:highlight w:val="none"/>
          <w:lang w:eastAsia="zh-CN"/>
        </w:rPr>
        <w:t>三</w:t>
      </w:r>
      <w:r>
        <w:rPr>
          <w:rFonts w:hint="eastAsia" w:ascii="宋体" w:hAnsi="宋体" w:eastAsia="宋体" w:cs="Times New Roman"/>
          <w:color w:val="auto"/>
          <w:kern w:val="0"/>
          <w:sz w:val="30"/>
          <w:szCs w:val="30"/>
          <w:highlight w:val="none"/>
        </w:rPr>
        <w:t>）参办本次投标人员需带居民身份证原件，授权参加投标人员还需带授权书。</w:t>
      </w:r>
    </w:p>
    <w:p>
      <w:pPr>
        <w:widowControl/>
        <w:overflowPunct w:val="0"/>
        <w:autoSpaceDE w:val="0"/>
        <w:autoSpaceDN w:val="0"/>
        <w:adjustRightInd w:val="0"/>
        <w:spacing w:line="360" w:lineRule="auto"/>
        <w:ind w:firstLine="600" w:firstLineChars="200"/>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w:t>
      </w:r>
      <w:r>
        <w:rPr>
          <w:rFonts w:hint="eastAsia" w:ascii="宋体" w:hAnsi="宋体" w:eastAsia="宋体" w:cs="Times New Roman"/>
          <w:color w:val="auto"/>
          <w:kern w:val="0"/>
          <w:sz w:val="30"/>
          <w:szCs w:val="30"/>
          <w:highlight w:val="none"/>
          <w:lang w:eastAsia="zh-CN"/>
        </w:rPr>
        <w:t>四</w:t>
      </w:r>
      <w:r>
        <w:rPr>
          <w:rFonts w:hint="eastAsia" w:ascii="宋体" w:hAnsi="宋体" w:eastAsia="宋体" w:cs="Times New Roman"/>
          <w:color w:val="auto"/>
          <w:kern w:val="0"/>
          <w:sz w:val="30"/>
          <w:szCs w:val="30"/>
          <w:highlight w:val="none"/>
        </w:rPr>
        <w:t>)中标银行需与</w:t>
      </w:r>
      <w:r>
        <w:rPr>
          <w:rFonts w:hint="eastAsia" w:ascii="宋体" w:hAnsi="宋体" w:eastAsia="宋体" w:cs="Times New Roman"/>
          <w:color w:val="auto"/>
          <w:kern w:val="0"/>
          <w:sz w:val="30"/>
          <w:szCs w:val="30"/>
          <w:highlight w:val="none"/>
          <w:lang w:eastAsia="zh-CN"/>
        </w:rPr>
        <w:t>中共永嘉县委社会工作部</w:t>
      </w:r>
      <w:r>
        <w:rPr>
          <w:rFonts w:hint="eastAsia" w:ascii="宋体" w:hAnsi="宋体" w:eastAsia="宋体" w:cs="Times New Roman"/>
          <w:color w:val="auto"/>
          <w:kern w:val="0"/>
          <w:sz w:val="30"/>
          <w:szCs w:val="30"/>
          <w:highlight w:val="none"/>
        </w:rPr>
        <w:t>签订《</w:t>
      </w:r>
      <w:r>
        <w:rPr>
          <w:rFonts w:hint="eastAsia" w:ascii="宋体" w:hAnsi="宋体" w:eastAsia="宋体" w:cs="Times New Roman"/>
          <w:color w:val="auto"/>
          <w:kern w:val="0"/>
          <w:sz w:val="30"/>
          <w:szCs w:val="30"/>
          <w:highlight w:val="none"/>
          <w:lang w:eastAsia="zh-CN"/>
        </w:rPr>
        <w:t>中共永嘉县委社会工作部基本户竞争性开户</w:t>
      </w:r>
      <w:r>
        <w:rPr>
          <w:rFonts w:hint="eastAsia" w:ascii="宋体" w:hAnsi="宋体" w:eastAsia="宋体" w:cs="Times New Roman"/>
          <w:color w:val="auto"/>
          <w:kern w:val="0"/>
          <w:sz w:val="30"/>
          <w:szCs w:val="30"/>
          <w:highlight w:val="none"/>
        </w:rPr>
        <w:t>协议书》。</w:t>
      </w:r>
    </w:p>
    <w:p>
      <w:pPr>
        <w:widowControl/>
        <w:overflowPunct w:val="0"/>
        <w:autoSpaceDE w:val="0"/>
        <w:autoSpaceDN w:val="0"/>
        <w:adjustRightInd w:val="0"/>
        <w:spacing w:line="360" w:lineRule="auto"/>
        <w:ind w:firstLine="600" w:firstLineChars="200"/>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w:t>
      </w:r>
      <w:r>
        <w:rPr>
          <w:rFonts w:hint="eastAsia" w:ascii="宋体" w:hAnsi="宋体" w:eastAsia="宋体" w:cs="Times New Roman"/>
          <w:color w:val="auto"/>
          <w:kern w:val="0"/>
          <w:sz w:val="30"/>
          <w:szCs w:val="30"/>
          <w:highlight w:val="none"/>
          <w:lang w:val="en-US" w:eastAsia="zh-CN"/>
        </w:rPr>
        <w:t>五</w:t>
      </w:r>
      <w:r>
        <w:rPr>
          <w:rFonts w:hint="eastAsia" w:ascii="宋体" w:hAnsi="宋体" w:eastAsia="宋体" w:cs="Times New Roman"/>
          <w:color w:val="auto"/>
          <w:kern w:val="0"/>
          <w:sz w:val="30"/>
          <w:szCs w:val="30"/>
          <w:highlight w:val="none"/>
        </w:rPr>
        <w:t>)本次招投标解释权为</w:t>
      </w:r>
      <w:r>
        <w:rPr>
          <w:rFonts w:hint="eastAsia" w:ascii="宋体" w:hAnsi="宋体" w:eastAsia="宋体" w:cs="Times New Roman"/>
          <w:color w:val="auto"/>
          <w:kern w:val="0"/>
          <w:sz w:val="30"/>
          <w:szCs w:val="30"/>
          <w:highlight w:val="none"/>
          <w:lang w:eastAsia="zh-CN"/>
        </w:rPr>
        <w:t>中共永嘉县委社会工作部</w:t>
      </w:r>
      <w:r>
        <w:rPr>
          <w:rFonts w:hint="eastAsia" w:ascii="宋体" w:hAnsi="宋体" w:eastAsia="宋体" w:cs="Times New Roman"/>
          <w:color w:val="auto"/>
          <w:kern w:val="0"/>
          <w:sz w:val="30"/>
          <w:szCs w:val="30"/>
          <w:highlight w:val="none"/>
        </w:rPr>
        <w:t>。</w:t>
      </w:r>
    </w:p>
    <w:p>
      <w:pPr>
        <w:widowControl/>
        <w:overflowPunct w:val="0"/>
        <w:autoSpaceDE w:val="0"/>
        <w:autoSpaceDN w:val="0"/>
        <w:adjustRightInd w:val="0"/>
        <w:spacing w:line="360" w:lineRule="auto"/>
        <w:textAlignment w:val="baseline"/>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八、联系人及联系电话</w:t>
      </w:r>
    </w:p>
    <w:p>
      <w:pPr>
        <w:widowControl/>
        <w:overflowPunct w:val="0"/>
        <w:autoSpaceDE w:val="0"/>
        <w:autoSpaceDN w:val="0"/>
        <w:adjustRightInd w:val="0"/>
        <w:spacing w:line="360" w:lineRule="auto"/>
        <w:ind w:left="422" w:leftChars="201"/>
        <w:textAlignment w:val="baseline"/>
        <w:rPr>
          <w:rFonts w:hint="eastAsia" w:ascii="宋体" w:hAnsi="宋体" w:eastAsia="宋体" w:cs="Times New Roman"/>
          <w:color w:val="auto"/>
          <w:kern w:val="0"/>
          <w:sz w:val="30"/>
          <w:szCs w:val="30"/>
          <w:highlight w:val="none"/>
          <w:lang w:eastAsia="zh-CN"/>
        </w:rPr>
      </w:pPr>
      <w:r>
        <w:rPr>
          <w:rFonts w:hint="eastAsia" w:ascii="宋体" w:hAnsi="宋体" w:eastAsia="宋体" w:cs="Times New Roman"/>
          <w:color w:val="auto"/>
          <w:kern w:val="0"/>
          <w:sz w:val="30"/>
          <w:szCs w:val="30"/>
          <w:highlight w:val="none"/>
        </w:rPr>
        <w:t>采购单位：</w:t>
      </w:r>
      <w:r>
        <w:rPr>
          <w:rFonts w:hint="eastAsia" w:ascii="宋体" w:hAnsi="宋体" w:eastAsia="宋体" w:cs="Times New Roman"/>
          <w:color w:val="auto"/>
          <w:kern w:val="0"/>
          <w:sz w:val="30"/>
          <w:szCs w:val="30"/>
          <w:highlight w:val="none"/>
          <w:lang w:eastAsia="zh-CN"/>
        </w:rPr>
        <w:t>中共永嘉县委社会工作部</w:t>
      </w:r>
    </w:p>
    <w:p>
      <w:pPr>
        <w:widowControl/>
        <w:overflowPunct w:val="0"/>
        <w:autoSpaceDE w:val="0"/>
        <w:autoSpaceDN w:val="0"/>
        <w:adjustRightInd w:val="0"/>
        <w:spacing w:line="360" w:lineRule="auto"/>
        <w:ind w:left="422" w:leftChars="201"/>
        <w:textAlignment w:val="baseline"/>
        <w:rPr>
          <w:rFonts w:hint="default" w:ascii="宋体" w:hAnsi="宋体" w:eastAsia="宋体" w:cs="Times New Roman"/>
          <w:color w:val="auto"/>
          <w:kern w:val="0"/>
          <w:sz w:val="30"/>
          <w:szCs w:val="30"/>
          <w:highlight w:val="none"/>
          <w:lang w:val="en-US" w:eastAsia="zh-CN"/>
        </w:rPr>
      </w:pPr>
      <w:r>
        <w:rPr>
          <w:rFonts w:hint="eastAsia" w:ascii="宋体" w:hAnsi="宋体" w:eastAsia="宋体" w:cs="Times New Roman"/>
          <w:color w:val="auto"/>
          <w:kern w:val="0"/>
          <w:sz w:val="30"/>
          <w:szCs w:val="30"/>
          <w:highlight w:val="none"/>
        </w:rPr>
        <w:t>联系人：</w:t>
      </w:r>
      <w:r>
        <w:rPr>
          <w:rFonts w:hint="eastAsia" w:ascii="宋体" w:hAnsi="宋体" w:eastAsia="宋体" w:cs="Times New Roman"/>
          <w:color w:val="auto"/>
          <w:kern w:val="0"/>
          <w:sz w:val="30"/>
          <w:szCs w:val="30"/>
          <w:highlight w:val="none"/>
          <w:lang w:val="en-US" w:eastAsia="zh-CN"/>
        </w:rPr>
        <w:t>鲍</w:t>
      </w:r>
      <w:r>
        <w:rPr>
          <w:rFonts w:hint="eastAsia" w:ascii="宋体" w:hAnsi="宋体" w:eastAsia="宋体" w:cs="Times New Roman"/>
          <w:color w:val="auto"/>
          <w:kern w:val="0"/>
          <w:sz w:val="30"/>
          <w:szCs w:val="30"/>
          <w:highlight w:val="none"/>
        </w:rPr>
        <w:t>先生    联系电话：</w:t>
      </w:r>
      <w:r>
        <w:rPr>
          <w:rFonts w:hint="eastAsia" w:ascii="宋体" w:hAnsi="宋体" w:eastAsia="宋体" w:cs="Times New Roman"/>
          <w:color w:val="auto"/>
          <w:kern w:val="0"/>
          <w:sz w:val="30"/>
          <w:szCs w:val="30"/>
          <w:highlight w:val="none"/>
          <w:lang w:val="en-US" w:eastAsia="zh-CN"/>
        </w:rPr>
        <w:t>629351</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采购代理机构名称：温州市中概工程管理咨询有限公司</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联系地址：温州市永嘉县南城街道环城北路618号云碓大厦503室</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联 系 人：胡可可</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联系电话：15258683545 </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特此公告！</w:t>
      </w:r>
    </w:p>
    <w:p>
      <w:pPr>
        <w:widowControl/>
        <w:overflowPunct w:val="0"/>
        <w:autoSpaceDE w:val="0"/>
        <w:autoSpaceDN w:val="0"/>
        <w:adjustRightInd w:val="0"/>
        <w:spacing w:line="360" w:lineRule="auto"/>
        <w:ind w:left="422" w:leftChars="201"/>
        <w:textAlignment w:val="baseline"/>
        <w:rPr>
          <w:rFonts w:ascii="宋体" w:hAnsi="宋体" w:eastAsia="宋体" w:cs="Times New Roman"/>
          <w:color w:val="auto"/>
          <w:kern w:val="0"/>
          <w:sz w:val="30"/>
          <w:szCs w:val="30"/>
          <w:highlight w:val="none"/>
        </w:rPr>
      </w:pPr>
    </w:p>
    <w:p>
      <w:pPr>
        <w:widowControl/>
        <w:overflowPunct w:val="0"/>
        <w:autoSpaceDE w:val="0"/>
        <w:autoSpaceDN w:val="0"/>
        <w:adjustRightInd w:val="0"/>
        <w:spacing w:line="360" w:lineRule="auto"/>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 </w:t>
      </w:r>
    </w:p>
    <w:p>
      <w:pPr>
        <w:widowControl/>
        <w:overflowPunct w:val="0"/>
        <w:autoSpaceDE w:val="0"/>
        <w:autoSpaceDN w:val="0"/>
        <w:adjustRightInd w:val="0"/>
        <w:spacing w:line="360" w:lineRule="auto"/>
        <w:jc w:val="right"/>
        <w:textAlignment w:val="baseline"/>
        <w:rPr>
          <w:rFonts w:hint="eastAsia" w:ascii="宋体" w:hAnsi="宋体" w:eastAsia="宋体" w:cs="Times New Roman"/>
          <w:color w:val="auto"/>
          <w:kern w:val="0"/>
          <w:sz w:val="30"/>
          <w:szCs w:val="30"/>
          <w:highlight w:val="none"/>
          <w:lang w:eastAsia="zh-CN"/>
        </w:rPr>
      </w:pPr>
      <w:r>
        <w:rPr>
          <w:rFonts w:hint="eastAsia" w:ascii="宋体" w:hAnsi="宋体" w:eastAsia="宋体" w:cs="Times New Roman"/>
          <w:color w:val="auto"/>
          <w:kern w:val="0"/>
          <w:sz w:val="30"/>
          <w:szCs w:val="30"/>
          <w:highlight w:val="none"/>
          <w:lang w:eastAsia="zh-CN"/>
        </w:rPr>
        <w:t>中共永嘉县委社会工作部</w:t>
      </w:r>
    </w:p>
    <w:p>
      <w:pPr>
        <w:widowControl/>
        <w:overflowPunct w:val="0"/>
        <w:autoSpaceDE w:val="0"/>
        <w:autoSpaceDN w:val="0"/>
        <w:adjustRightInd w:val="0"/>
        <w:spacing w:line="360" w:lineRule="auto"/>
        <w:jc w:val="right"/>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温州市中概工程管理咨询有限公司</w:t>
      </w:r>
    </w:p>
    <w:p>
      <w:pPr>
        <w:widowControl/>
        <w:overflowPunct w:val="0"/>
        <w:autoSpaceDE w:val="0"/>
        <w:autoSpaceDN w:val="0"/>
        <w:adjustRightInd w:val="0"/>
        <w:spacing w:line="360" w:lineRule="auto"/>
        <w:jc w:val="right"/>
        <w:textAlignment w:val="baseline"/>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 202</w:t>
      </w:r>
      <w:r>
        <w:rPr>
          <w:rFonts w:hint="eastAsia" w:ascii="宋体" w:hAnsi="宋体" w:eastAsia="宋体" w:cs="Times New Roman"/>
          <w:color w:val="auto"/>
          <w:kern w:val="0"/>
          <w:sz w:val="30"/>
          <w:szCs w:val="30"/>
          <w:highlight w:val="none"/>
          <w:lang w:val="en-US" w:eastAsia="zh-CN"/>
        </w:rPr>
        <w:t>4</w:t>
      </w:r>
      <w:r>
        <w:rPr>
          <w:rFonts w:hint="eastAsia" w:ascii="宋体" w:hAnsi="宋体" w:eastAsia="宋体" w:cs="Times New Roman"/>
          <w:color w:val="auto"/>
          <w:kern w:val="0"/>
          <w:sz w:val="30"/>
          <w:szCs w:val="30"/>
          <w:highlight w:val="none"/>
        </w:rPr>
        <w:t>年</w:t>
      </w:r>
      <w:r>
        <w:rPr>
          <w:rFonts w:hint="eastAsia" w:ascii="宋体" w:hAnsi="宋体" w:eastAsia="宋体" w:cs="Times New Roman"/>
          <w:color w:val="auto"/>
          <w:kern w:val="0"/>
          <w:sz w:val="30"/>
          <w:szCs w:val="30"/>
          <w:highlight w:val="none"/>
          <w:lang w:val="en-US" w:eastAsia="zh-CN"/>
        </w:rPr>
        <w:t>4</w:t>
      </w:r>
      <w:r>
        <w:rPr>
          <w:rFonts w:hint="eastAsia" w:ascii="宋体" w:hAnsi="宋体" w:eastAsia="宋体" w:cs="Times New Roman"/>
          <w:color w:val="auto"/>
          <w:kern w:val="0"/>
          <w:sz w:val="30"/>
          <w:szCs w:val="30"/>
          <w:highlight w:val="none"/>
        </w:rPr>
        <w:t>月</w:t>
      </w:r>
      <w:r>
        <w:rPr>
          <w:rFonts w:hint="eastAsia" w:ascii="宋体" w:hAnsi="宋体" w:eastAsia="宋体" w:cs="Times New Roman"/>
          <w:color w:val="auto"/>
          <w:kern w:val="0"/>
          <w:sz w:val="30"/>
          <w:szCs w:val="30"/>
          <w:highlight w:val="none"/>
          <w:lang w:val="en-US" w:eastAsia="zh-CN"/>
        </w:rPr>
        <w:t>17</w:t>
      </w:r>
      <w:r>
        <w:rPr>
          <w:rFonts w:hint="eastAsia" w:ascii="宋体" w:hAnsi="宋体" w:eastAsia="宋体" w:cs="Times New Roman"/>
          <w:color w:val="auto"/>
          <w:kern w:val="0"/>
          <w:sz w:val="30"/>
          <w:szCs w:val="30"/>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C239E"/>
    <w:multiLevelType w:val="singleLevel"/>
    <w:tmpl w:val="C0CC239E"/>
    <w:lvl w:ilvl="0" w:tentative="0">
      <w:start w:val="1"/>
      <w:numFmt w:val="chineseCounting"/>
      <w:suff w:val="nothing"/>
      <w:lvlText w:val="%1、"/>
      <w:lvlJc w:val="left"/>
      <w:pPr>
        <w:ind w:left="300" w:leftChars="0" w:firstLine="0" w:firstLineChars="0"/>
      </w:pPr>
      <w:rPr>
        <w:rFonts w:hint="eastAsia"/>
      </w:rPr>
    </w:lvl>
  </w:abstractNum>
  <w:abstractNum w:abstractNumId="1">
    <w:nsid w:val="C34E43DD"/>
    <w:multiLevelType w:val="singleLevel"/>
    <w:tmpl w:val="C34E43D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MzRhNGU0YTJiZGQzZDEyM2Q3ZGQ2YTc1YTRjNGEifQ=="/>
  </w:docVars>
  <w:rsids>
    <w:rsidRoot w:val="00000000"/>
    <w:rsid w:val="74BF2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pPr>
  </w:style>
  <w:style w:type="paragraph" w:styleId="4">
    <w:name w:val="toc 6"/>
    <w:basedOn w:val="1"/>
    <w:next w:val="1"/>
    <w:semiHidden/>
    <w:qFormat/>
    <w:uiPriority w:val="0"/>
    <w:pPr>
      <w:ind w:left="105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2024-04-17T05:23:16Z</dcterms:created>
  <dc:creator>Administrator</dc:creator>
  <cp:lastModifiedBy>可可</cp:lastModifiedBy>
  <dcterms:modified xsi:type="dcterms:W3CDTF">2024-04-17T05:24:07Z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27202F64775B4D93A6266C1D05FF666E_12</vt:lpwstr>
  </property>
</Properties>
</file>