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3" w:rsidRPr="00F267C3" w:rsidRDefault="003A1A34" w:rsidP="00F267C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2017</w:t>
      </w:r>
      <w:r w:rsidR="00F267C3" w:rsidRPr="00F267C3">
        <w:rPr>
          <w:rFonts w:ascii="黑体" w:eastAsia="黑体" w:hint="eastAsia"/>
          <w:sz w:val="44"/>
          <w:szCs w:val="44"/>
        </w:rPr>
        <w:t>年度企业信息公开年报</w:t>
      </w:r>
    </w:p>
    <w:p w:rsidR="00EA0440" w:rsidRDefault="00EA0440" w:rsidP="00EA044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国网浙江永嘉县供电</w:t>
      </w:r>
      <w:r w:rsidR="00CD21C9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>公司</w:t>
      </w:r>
    </w:p>
    <w:p w:rsidR="00EA0440" w:rsidRDefault="00EA0440" w:rsidP="00EA044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</w:t>
      </w:r>
      <w:r w:rsidR="00514680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CD21C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月）</w:t>
      </w:r>
    </w:p>
    <w:p w:rsidR="00EA0440" w:rsidRDefault="00EA0440" w:rsidP="00F267C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E65B3" w:rsidRDefault="000E65B3" w:rsidP="00EA04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2347E">
        <w:rPr>
          <w:rFonts w:ascii="仿宋_GB2312" w:eastAsia="仿宋_GB2312" w:hint="eastAsia"/>
          <w:sz w:val="32"/>
          <w:szCs w:val="32"/>
        </w:rPr>
        <w:t>根据</w:t>
      </w:r>
      <w:r w:rsidR="00EA0440">
        <w:rPr>
          <w:rFonts w:ascii="仿宋_GB2312" w:eastAsia="仿宋_GB2312" w:hint="eastAsia"/>
          <w:sz w:val="32"/>
          <w:szCs w:val="32"/>
        </w:rPr>
        <w:t>浙江省电力公司</w:t>
      </w:r>
      <w:r w:rsidRPr="00B2347E">
        <w:rPr>
          <w:rFonts w:ascii="仿宋_GB2312" w:eastAsia="仿宋_GB2312" w:hint="eastAsia"/>
          <w:sz w:val="32"/>
          <w:szCs w:val="32"/>
        </w:rPr>
        <w:t>《</w:t>
      </w:r>
      <w:r w:rsidR="00EA0440" w:rsidRPr="00EA0440">
        <w:rPr>
          <w:rFonts w:ascii="仿宋_GB2312" w:eastAsia="仿宋_GB2312" w:hint="eastAsia"/>
          <w:sz w:val="32"/>
          <w:szCs w:val="32"/>
        </w:rPr>
        <w:t>关于落实信息公开监管工作的通知</w:t>
      </w:r>
      <w:r w:rsidRPr="00B2347E">
        <w:rPr>
          <w:rFonts w:ascii="仿宋_GB2312" w:eastAsia="仿宋_GB2312" w:hint="eastAsia"/>
          <w:sz w:val="32"/>
          <w:szCs w:val="32"/>
        </w:rPr>
        <w:t>》文件要求，</w:t>
      </w:r>
      <w:r w:rsidR="00EA0440">
        <w:rPr>
          <w:rFonts w:ascii="仿宋_GB2312" w:eastAsia="仿宋_GB2312" w:hint="eastAsia"/>
          <w:sz w:val="32"/>
          <w:szCs w:val="32"/>
        </w:rPr>
        <w:t>公司</w:t>
      </w:r>
      <w:r w:rsidRPr="00B2347E">
        <w:rPr>
          <w:rFonts w:ascii="仿宋_GB2312" w:eastAsia="仿宋_GB2312" w:hint="eastAsia"/>
          <w:sz w:val="32"/>
          <w:szCs w:val="32"/>
        </w:rPr>
        <w:t>遵循</w:t>
      </w:r>
      <w:r w:rsidR="00EA0440">
        <w:rPr>
          <w:rFonts w:ascii="仿宋_GB2312" w:eastAsia="仿宋_GB2312" w:hint="eastAsia"/>
          <w:sz w:val="32"/>
          <w:szCs w:val="32"/>
        </w:rPr>
        <w:t>“</w:t>
      </w:r>
      <w:r w:rsidRPr="00B2347E">
        <w:rPr>
          <w:rFonts w:ascii="仿宋_GB2312" w:eastAsia="仿宋_GB2312" w:hint="eastAsia"/>
          <w:sz w:val="32"/>
          <w:szCs w:val="32"/>
        </w:rPr>
        <w:t>真实准确、规范及时、便民利民</w:t>
      </w:r>
      <w:r w:rsidR="00EA0440">
        <w:rPr>
          <w:rFonts w:ascii="仿宋_GB2312" w:eastAsia="仿宋_GB2312" w:hint="eastAsia"/>
          <w:sz w:val="32"/>
          <w:szCs w:val="32"/>
        </w:rPr>
        <w:t>”</w:t>
      </w:r>
      <w:r w:rsidRPr="00B2347E">
        <w:rPr>
          <w:rFonts w:ascii="仿宋_GB2312" w:eastAsia="仿宋_GB2312" w:hint="eastAsia"/>
          <w:sz w:val="32"/>
          <w:szCs w:val="32"/>
        </w:rPr>
        <w:t>原则，</w:t>
      </w:r>
      <w:r w:rsidR="00EA0440" w:rsidRPr="00B2347E">
        <w:rPr>
          <w:rFonts w:ascii="仿宋_GB2312" w:eastAsia="仿宋_GB2312" w:hint="eastAsia"/>
          <w:sz w:val="32"/>
          <w:szCs w:val="32"/>
        </w:rPr>
        <w:t>进一步明确信息公开管理职责，认真落实信息公开发布和信息更新工作，</w:t>
      </w:r>
      <w:r w:rsidR="00EA0440">
        <w:rPr>
          <w:rFonts w:ascii="仿宋_GB2312" w:eastAsia="仿宋_GB2312" w:hint="eastAsia"/>
          <w:sz w:val="32"/>
          <w:szCs w:val="32"/>
        </w:rPr>
        <w:t>主动</w:t>
      </w:r>
      <w:r w:rsidR="00D45665">
        <w:rPr>
          <w:rFonts w:ascii="仿宋_GB2312" w:eastAsia="仿宋_GB2312" w:hAnsi="仿宋_GB2312" w:cs="仿宋_GB2312" w:hint="eastAsia"/>
          <w:sz w:val="32"/>
          <w:szCs w:val="32"/>
        </w:rPr>
        <w:t>接受社会各界和客户的监督</w:t>
      </w:r>
      <w:r w:rsidRPr="00B2347E">
        <w:rPr>
          <w:rFonts w:ascii="仿宋_GB2312" w:eastAsia="仿宋_GB2312" w:hint="eastAsia"/>
          <w:sz w:val="32"/>
          <w:szCs w:val="32"/>
        </w:rPr>
        <w:t>。</w:t>
      </w:r>
      <w:r w:rsidR="00EA0440">
        <w:rPr>
          <w:rFonts w:ascii="仿宋_GB2312" w:eastAsia="仿宋_GB2312" w:hAnsi="仿宋_GB2312"/>
          <w:sz w:val="32"/>
        </w:rPr>
        <w:t>现对</w:t>
      </w:r>
      <w:r w:rsidR="00EA0440">
        <w:rPr>
          <w:rFonts w:ascii="仿宋_GB2312" w:eastAsia="仿宋_GB2312" w:hAnsi="仿宋_GB2312" w:hint="eastAsia"/>
          <w:sz w:val="32"/>
        </w:rPr>
        <w:t>永嘉公司</w:t>
      </w:r>
      <w:r w:rsidR="003A1A34">
        <w:rPr>
          <w:rFonts w:ascii="仿宋_GB2312" w:eastAsia="仿宋_GB2312" w:hAnsi="仿宋_GB2312"/>
          <w:sz w:val="32"/>
        </w:rPr>
        <w:t>2017</w:t>
      </w:r>
      <w:r w:rsidR="00EA0440">
        <w:rPr>
          <w:rFonts w:ascii="仿宋_GB2312" w:eastAsia="仿宋_GB2312" w:hAnsi="仿宋_GB2312"/>
          <w:sz w:val="32"/>
        </w:rPr>
        <w:t>年度信息公开工作情况</w:t>
      </w:r>
      <w:r w:rsidR="00220A0D">
        <w:rPr>
          <w:rFonts w:ascii="仿宋_GB2312" w:eastAsia="仿宋_GB2312" w:hAnsi="仿宋_GB2312" w:hint="eastAsia"/>
          <w:sz w:val="32"/>
        </w:rPr>
        <w:t>汇报</w:t>
      </w:r>
      <w:r w:rsidR="00EA0440">
        <w:rPr>
          <w:rFonts w:ascii="仿宋_GB2312" w:eastAsia="仿宋_GB2312" w:hAnsi="仿宋_GB2312" w:hint="eastAsia"/>
          <w:sz w:val="32"/>
        </w:rPr>
        <w:t>如下</w:t>
      </w:r>
      <w:r w:rsidR="00220A0D">
        <w:rPr>
          <w:rFonts w:ascii="仿宋_GB2312" w:eastAsia="仿宋_GB2312" w:hAnsi="仿宋_GB2312" w:hint="eastAsia"/>
          <w:sz w:val="32"/>
        </w:rPr>
        <w:t>：</w:t>
      </w:r>
    </w:p>
    <w:p w:rsidR="00AF4B73" w:rsidRPr="007674A1" w:rsidRDefault="00AF4B73" w:rsidP="00AF4B73">
      <w:pPr>
        <w:pStyle w:val="1"/>
        <w:ind w:firstLine="643"/>
        <w:jc w:val="left"/>
        <w:rPr>
          <w:rFonts w:ascii="仿宋_GB2312" w:eastAsia="仿宋_GB2312"/>
          <w:b/>
          <w:sz w:val="32"/>
          <w:szCs w:val="32"/>
        </w:rPr>
      </w:pPr>
      <w:r w:rsidRPr="007674A1">
        <w:rPr>
          <w:rFonts w:ascii="仿宋_GB2312" w:eastAsia="仿宋_GB2312" w:hAnsi="黑体" w:hint="eastAsia"/>
          <w:b/>
          <w:sz w:val="32"/>
        </w:rPr>
        <w:t>一、</w:t>
      </w:r>
      <w:r w:rsidRPr="007674A1">
        <w:rPr>
          <w:rFonts w:ascii="仿宋_GB2312" w:eastAsia="仿宋_GB2312" w:hint="eastAsia"/>
          <w:b/>
          <w:sz w:val="32"/>
          <w:szCs w:val="32"/>
        </w:rPr>
        <w:t>企业供电工作基本情况</w:t>
      </w:r>
    </w:p>
    <w:p w:rsidR="000E65B3" w:rsidRPr="00F267C3" w:rsidRDefault="000E65B3" w:rsidP="00F267C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F267C3">
        <w:rPr>
          <w:rFonts w:ascii="仿宋_GB2312" w:eastAsia="仿宋_GB2312" w:hint="eastAsia"/>
          <w:b/>
          <w:sz w:val="32"/>
          <w:szCs w:val="32"/>
        </w:rPr>
        <w:t>1、企业基本情况</w:t>
      </w:r>
    </w:p>
    <w:p w:rsidR="000E65B3" w:rsidRDefault="000E65B3" w:rsidP="00F267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公司地址：</w:t>
      </w:r>
      <w:r w:rsidR="0088608E">
        <w:rPr>
          <w:rFonts w:ascii="仿宋_GB2312" w:eastAsia="仿宋_GB2312" w:hint="eastAsia"/>
          <w:sz w:val="32"/>
          <w:szCs w:val="32"/>
        </w:rPr>
        <w:t>浙江省温州市永嘉县下塘工业区电业大楼</w:t>
      </w:r>
    </w:p>
    <w:p w:rsidR="00B06FD8" w:rsidRPr="00EA0440" w:rsidRDefault="000E65B3" w:rsidP="00B06FD8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电力业务许可证（供电类）及编号：</w:t>
      </w:r>
      <w:r w:rsidR="00EC331B" w:rsidRPr="00EA2166">
        <w:rPr>
          <w:rFonts w:ascii="仿宋_GB2312" w:eastAsia="仿宋_GB2312" w:hint="eastAsia"/>
          <w:sz w:val="32"/>
          <w:szCs w:val="32"/>
        </w:rPr>
        <w:t>3141707-00048</w:t>
      </w:r>
    </w:p>
    <w:p w:rsidR="00AF4B73" w:rsidRPr="00AB6502" w:rsidRDefault="000E65B3" w:rsidP="00AB6502">
      <w:pPr>
        <w:ind w:firstLineChars="200" w:firstLine="640"/>
        <w:rPr>
          <w:rFonts w:ascii="仿宋_GB2312" w:eastAsia="仿宋_GB2312" w:hAnsi="黑体"/>
          <w:color w:val="000000" w:themeColor="text1"/>
          <w:kern w:val="0"/>
          <w:sz w:val="32"/>
          <w:u w:val="single"/>
        </w:rPr>
      </w:pPr>
      <w:r w:rsidRPr="000E65B3">
        <w:rPr>
          <w:rFonts w:ascii="仿宋_GB2312" w:eastAsia="仿宋_GB2312" w:hint="eastAsia"/>
          <w:sz w:val="32"/>
          <w:szCs w:val="32"/>
        </w:rPr>
        <w:t>国网永嘉县供电</w:t>
      </w:r>
      <w:r w:rsidR="00CD21C9">
        <w:rPr>
          <w:rFonts w:ascii="仿宋_GB2312" w:eastAsia="仿宋_GB2312" w:hint="eastAsia"/>
          <w:sz w:val="32"/>
          <w:szCs w:val="32"/>
        </w:rPr>
        <w:t>有限</w:t>
      </w:r>
      <w:r w:rsidRPr="000E65B3">
        <w:rPr>
          <w:rFonts w:ascii="仿宋_GB2312" w:eastAsia="仿宋_GB2312" w:hint="eastAsia"/>
          <w:sz w:val="32"/>
          <w:szCs w:val="32"/>
        </w:rPr>
        <w:t>公司前身为地方国营永嘉电厂，始建于1959年；1965年与地方国营永嘉下岙水电站等电站合并为永嘉县水利电力公司；1984年6月，原电力公司分为永嘉县供电局、地方国营永嘉县水电公司，同年7月28日，并入华东电网；1988年10月将两个单位合并建立永嘉县电业局；1997年与温州电业局联营管理；1999年列为省代管县。现永嘉县供电公司担负着永嘉全县的供用电管理任务，</w:t>
      </w:r>
      <w:r w:rsidR="00B725B6" w:rsidRPr="00B725B6">
        <w:rPr>
          <w:rFonts w:ascii="仿宋_GB2312" w:eastAsia="仿宋_GB2312" w:hAnsi="黑体" w:hint="eastAsia"/>
          <w:color w:val="000000" w:themeColor="text1"/>
          <w:kern w:val="0"/>
          <w:sz w:val="32"/>
        </w:rPr>
        <w:t>截至到2017年12月31日，永嘉县境内共有：220kV变电所3座，主变7台，总容量1350MVA；110kV变电所13座，主</w:t>
      </w:r>
      <w:r w:rsidR="00B725B6" w:rsidRPr="00B725B6">
        <w:rPr>
          <w:rFonts w:ascii="仿宋_GB2312" w:eastAsia="仿宋_GB2312" w:hAnsi="黑体" w:hint="eastAsia"/>
          <w:color w:val="000000" w:themeColor="text1"/>
          <w:kern w:val="0"/>
          <w:sz w:val="32"/>
        </w:rPr>
        <w:lastRenderedPageBreak/>
        <w:t>变26台，总容量1213MVA；35kV变电所10座，主变20台，总容量227.5MVA；35kV线路21条，总长度229.846km；县调直调水电站82座，总装机容量68905kW；其中35kV电站9座，装机容量28810kW；10kV电站73座，装机容量40095kW。10kV光伏电站2座，总装机容量3069.2kW。</w:t>
      </w:r>
      <w:r w:rsidR="00AB6502" w:rsidRPr="00AB6502">
        <w:rPr>
          <w:rFonts w:ascii="仿宋_GB2312" w:eastAsia="仿宋_GB2312" w:hAnsi="黑体" w:hint="eastAsia"/>
          <w:color w:val="000000" w:themeColor="text1"/>
          <w:kern w:val="0"/>
          <w:sz w:val="32"/>
        </w:rPr>
        <w:t>5kV线路21条，总长度229.846公里；10kV运行线路303条，总长度3261.91公里，供电半径4.92公里；0.4KV低压线路8643条，总长度4704.76公里，供电半径0.417公里；公变台数3537台，总容量1285.915MVA，容载比3.22；专变台数共3236台，总容量864.49MVA。</w:t>
      </w:r>
    </w:p>
    <w:p w:rsidR="00AF4B73" w:rsidRPr="003A1A34" w:rsidRDefault="003900C2" w:rsidP="00AD7A12">
      <w:pPr>
        <w:snapToGrid w:val="0"/>
        <w:spacing w:line="600" w:lineRule="exact"/>
        <w:ind w:firstLineChars="200" w:firstLine="640"/>
        <w:rPr>
          <w:rFonts w:ascii="仿宋_GB2312" w:eastAsia="仿宋_GB2312" w:hAnsi="仿宋_GB2312"/>
          <w:color w:val="FF0000"/>
          <w:sz w:val="32"/>
        </w:rPr>
      </w:pPr>
      <w:r w:rsidRPr="006812DF">
        <w:rPr>
          <w:rFonts w:ascii="仿宋_GB2312" w:eastAsia="仿宋_GB2312" w:hAnsi="宋体" w:hint="eastAsia"/>
          <w:color w:val="000000" w:themeColor="text1"/>
          <w:sz w:val="32"/>
          <w:szCs w:val="32"/>
        </w:rPr>
        <w:t>2017年，永嘉公司全年完成供电量27.95亿千瓦时，同比增长8.77%；售电量26.50亿千瓦时，同比增长8.78%；综合线损率为5.18%，同比下降0.01个百分点。</w:t>
      </w:r>
      <w:r w:rsidRPr="006812DF">
        <w:rPr>
          <w:rFonts w:ascii="仿宋_GB2312" w:eastAsia="仿宋_GB2312" w:hAnsi="仿宋_GB2312" w:hint="eastAsia"/>
          <w:color w:val="000000" w:themeColor="text1"/>
          <w:sz w:val="32"/>
        </w:rPr>
        <w:t>用电户数为371581户，户均容量为9.12KW/户。</w:t>
      </w:r>
      <w:r w:rsidR="00AD7A12" w:rsidRPr="00AD7A12">
        <w:rPr>
          <w:rFonts w:ascii="仿宋_GB2312" w:eastAsia="仿宋_GB2312" w:hAnsi="仿宋_GB2312" w:hint="eastAsia"/>
          <w:color w:val="000000" w:themeColor="text1"/>
          <w:sz w:val="32"/>
        </w:rPr>
        <w:t>2017年最高负荷为61.777万千万（出现在8月9日14：00时）。</w:t>
      </w:r>
    </w:p>
    <w:p w:rsidR="00AF4B73" w:rsidRPr="00F17236" w:rsidRDefault="00AF4B73" w:rsidP="00AF4B73">
      <w:pPr>
        <w:ind w:firstLineChars="200" w:firstLine="643"/>
        <w:rPr>
          <w:rFonts w:ascii="仿宋_GB2312" w:eastAsia="仿宋_GB2312" w:hAnsi="仿宋_GB2312"/>
          <w:b/>
          <w:color w:val="000000" w:themeColor="text1"/>
          <w:sz w:val="32"/>
          <w:szCs w:val="20"/>
        </w:rPr>
      </w:pPr>
      <w:r w:rsidRPr="00F17236">
        <w:rPr>
          <w:rFonts w:ascii="仿宋_GB2312" w:eastAsia="仿宋_GB2312" w:hAnsi="仿宋_GB2312" w:hint="eastAsia"/>
          <w:b/>
          <w:color w:val="000000" w:themeColor="text1"/>
          <w:sz w:val="32"/>
          <w:szCs w:val="20"/>
        </w:rPr>
        <w:t>2、供电工作基本情况：</w:t>
      </w:r>
    </w:p>
    <w:p w:rsidR="00AF4B73" w:rsidRPr="003A1A34" w:rsidRDefault="003A1A34" w:rsidP="00AF4B73">
      <w:pPr>
        <w:pStyle w:val="1"/>
        <w:ind w:firstLine="640"/>
        <w:jc w:val="left"/>
        <w:rPr>
          <w:rFonts w:ascii="仿宋_GB2312" w:eastAsia="仿宋_GB2312" w:hAnsi="仿宋_GB2312"/>
          <w:color w:val="FF0000"/>
          <w:sz w:val="32"/>
          <w:szCs w:val="20"/>
        </w:rPr>
      </w:pPr>
      <w:r w:rsidRPr="00F269DA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2017</w:t>
      </w:r>
      <w:r w:rsidR="00AF4B73" w:rsidRPr="00F269DA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年全县供电可靠率为</w:t>
      </w:r>
      <w:r w:rsidR="0079528D" w:rsidRPr="00F269DA"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99.9</w:t>
      </w:r>
      <w:r w:rsidR="00F269DA" w:rsidRPr="00F269DA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114</w:t>
      </w:r>
      <w:r w:rsidR="0079528D" w:rsidRPr="00F269DA"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%</w:t>
      </w:r>
      <w:r w:rsidR="00AF4B73" w:rsidRPr="00F269DA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，同比</w:t>
      </w:r>
      <w:r w:rsidR="0079528D" w:rsidRPr="00F269DA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下降</w:t>
      </w:r>
      <w:r w:rsidR="0079528D" w:rsidRPr="00F269DA">
        <w:rPr>
          <w:rFonts w:ascii="Times New Roman" w:hAnsi="Times New Roman"/>
          <w:color w:val="000000" w:themeColor="text1"/>
          <w:kern w:val="0"/>
          <w:sz w:val="32"/>
          <w:szCs w:val="32"/>
        </w:rPr>
        <w:t>0.0</w:t>
      </w:r>
      <w:r w:rsidR="00F269DA" w:rsidRPr="00F269DA">
        <w:rPr>
          <w:rFonts w:ascii="Times New Roman" w:hAnsi="Times New Roman" w:hint="eastAsia"/>
          <w:color w:val="000000" w:themeColor="text1"/>
          <w:kern w:val="0"/>
          <w:sz w:val="32"/>
          <w:szCs w:val="32"/>
        </w:rPr>
        <w:t>3</w:t>
      </w:r>
      <w:r w:rsidR="0079528D" w:rsidRPr="00F269DA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个</w:t>
      </w:r>
      <w:r w:rsidR="00AF4B73" w:rsidRPr="00F269DA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百分点</w:t>
      </w:r>
      <w:r w:rsidR="00AF4B73" w:rsidRPr="00F269DA">
        <w:rPr>
          <w:rFonts w:ascii="仿宋_GB2312" w:eastAsia="仿宋_GB2312" w:hAnsi="仿宋_GB2312"/>
          <w:color w:val="000000" w:themeColor="text1"/>
          <w:sz w:val="32"/>
          <w:szCs w:val="20"/>
        </w:rPr>
        <w:t>;</w:t>
      </w:r>
      <w:r w:rsidR="005D6FAA" w:rsidRPr="00F269DA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 xml:space="preserve"> </w:t>
      </w:r>
      <w:r w:rsidR="005D6FAA" w:rsidRPr="000165DF">
        <w:rPr>
          <w:rFonts w:ascii="仿宋_GB2312" w:eastAsia="仿宋_GB2312" w:hAnsi="仿宋_GB2312" w:hint="eastAsia"/>
          <w:sz w:val="32"/>
          <w:szCs w:val="20"/>
        </w:rPr>
        <w:t>电压合格率为</w:t>
      </w:r>
      <w:r w:rsidR="005D6FAA" w:rsidRPr="000165DF">
        <w:rPr>
          <w:rFonts w:ascii="仿宋_GB2312" w:eastAsia="仿宋_GB2312" w:hAnsi="仿宋_GB2312"/>
          <w:sz w:val="32"/>
          <w:szCs w:val="20"/>
        </w:rPr>
        <w:t>99.</w:t>
      </w:r>
      <w:r w:rsidR="005D6FAA" w:rsidRPr="000165DF">
        <w:rPr>
          <w:rFonts w:ascii="仿宋_GB2312" w:eastAsia="仿宋_GB2312" w:hAnsi="仿宋_GB2312" w:hint="eastAsia"/>
          <w:sz w:val="32"/>
          <w:szCs w:val="20"/>
        </w:rPr>
        <w:t>976</w:t>
      </w:r>
      <w:r w:rsidR="005D6FAA" w:rsidRPr="000165DF">
        <w:rPr>
          <w:rFonts w:ascii="仿宋_GB2312" w:eastAsia="仿宋_GB2312" w:hAnsi="仿宋_GB2312"/>
          <w:sz w:val="32"/>
          <w:szCs w:val="20"/>
        </w:rPr>
        <w:t>%</w:t>
      </w:r>
      <w:r w:rsidR="005D6FAA" w:rsidRPr="000165DF">
        <w:rPr>
          <w:rFonts w:ascii="仿宋_GB2312" w:eastAsia="仿宋_GB2312" w:hAnsi="仿宋_GB2312" w:hint="eastAsia"/>
          <w:sz w:val="32"/>
          <w:szCs w:val="20"/>
        </w:rPr>
        <w:t>，同比</w:t>
      </w:r>
      <w:r w:rsidR="005D6FAA" w:rsidRPr="00344B02">
        <w:rPr>
          <w:rFonts w:ascii="仿宋_GB2312" w:eastAsia="仿宋_GB2312" w:cs="仿宋_GB2312" w:hint="eastAsia"/>
          <w:kern w:val="0"/>
          <w:sz w:val="32"/>
          <w:szCs w:val="32"/>
        </w:rPr>
        <w:t>上升</w:t>
      </w:r>
      <w:r w:rsidR="005D6FAA" w:rsidRPr="00344B02">
        <w:rPr>
          <w:rFonts w:ascii="仿宋_GB2312" w:eastAsia="仿宋_GB2312" w:cs="仿宋_GB2312"/>
          <w:kern w:val="0"/>
          <w:sz w:val="32"/>
          <w:szCs w:val="32"/>
        </w:rPr>
        <w:t>0.</w:t>
      </w:r>
      <w:r w:rsidR="005D6FAA">
        <w:rPr>
          <w:rFonts w:ascii="仿宋_GB2312" w:eastAsia="仿宋_GB2312" w:cs="仿宋_GB2312" w:hint="eastAsia"/>
          <w:kern w:val="0"/>
          <w:sz w:val="32"/>
          <w:szCs w:val="32"/>
        </w:rPr>
        <w:t>51</w:t>
      </w:r>
      <w:r w:rsidR="005D6FAA" w:rsidRPr="00344B02">
        <w:rPr>
          <w:rFonts w:ascii="仿宋_GB2312" w:eastAsia="仿宋_GB2312" w:cs="仿宋_GB2312" w:hint="eastAsia"/>
          <w:kern w:val="0"/>
          <w:sz w:val="32"/>
          <w:szCs w:val="32"/>
        </w:rPr>
        <w:t>个百分点</w:t>
      </w:r>
      <w:r w:rsidR="00AE799B"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 w:rsidR="00AF4B73" w:rsidRPr="00030E06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居民端电压合格率为</w:t>
      </w:r>
      <w:r w:rsidR="0079528D" w:rsidRPr="00030E06"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99.</w:t>
      </w:r>
      <w:r w:rsidR="00030E06" w:rsidRPr="00030E06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923</w:t>
      </w:r>
      <w:r w:rsidR="0079528D" w:rsidRPr="00030E06"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%</w:t>
      </w:r>
      <w:r w:rsidR="00AF4B73" w:rsidRPr="00030E06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，同比</w:t>
      </w:r>
      <w:r w:rsidR="0079528D" w:rsidRPr="00030E06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上升</w:t>
      </w:r>
      <w:r w:rsidR="0079528D" w:rsidRPr="00030E06">
        <w:rPr>
          <w:rFonts w:ascii="Times New Roman" w:hAnsi="Times New Roman"/>
          <w:color w:val="000000" w:themeColor="text1"/>
          <w:kern w:val="0"/>
          <w:sz w:val="32"/>
          <w:szCs w:val="32"/>
        </w:rPr>
        <w:t>0.</w:t>
      </w:r>
      <w:r w:rsidR="00030E06" w:rsidRPr="00030E06">
        <w:rPr>
          <w:rFonts w:ascii="Times New Roman" w:hAnsi="Times New Roman" w:hint="eastAsia"/>
          <w:color w:val="000000" w:themeColor="text1"/>
          <w:kern w:val="0"/>
          <w:sz w:val="32"/>
          <w:szCs w:val="32"/>
        </w:rPr>
        <w:t>01</w:t>
      </w:r>
      <w:r w:rsidR="0079528D" w:rsidRPr="00030E06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个</w:t>
      </w:r>
      <w:r w:rsidR="00AF4B73" w:rsidRPr="00030E06">
        <w:rPr>
          <w:rFonts w:ascii="仿宋_GB2312" w:eastAsia="仿宋_GB2312" w:hAnsi="仿宋_GB2312" w:hint="eastAsia"/>
          <w:color w:val="000000" w:themeColor="text1"/>
          <w:sz w:val="32"/>
          <w:szCs w:val="20"/>
        </w:rPr>
        <w:t>百分点。</w:t>
      </w:r>
    </w:p>
    <w:p w:rsidR="00D51E18" w:rsidRPr="00D51E18" w:rsidRDefault="00AF4B73" w:rsidP="00D51E18">
      <w:pPr>
        <w:pStyle w:val="1"/>
        <w:ind w:firstLine="640"/>
        <w:jc w:val="left"/>
        <w:rPr>
          <w:rFonts w:ascii="仿宋_GB2312" w:eastAsia="仿宋_GB2312" w:cs="仿宋_GB2312"/>
          <w:b/>
          <w:color w:val="000000" w:themeColor="text1"/>
          <w:kern w:val="0"/>
          <w:sz w:val="30"/>
          <w:szCs w:val="30"/>
        </w:rPr>
      </w:pPr>
      <w:r w:rsidRPr="00252345">
        <w:rPr>
          <w:rFonts w:ascii="仿宋_GB2312" w:eastAsia="仿宋_GB2312" w:hint="eastAsia"/>
          <w:color w:val="000000" w:themeColor="text1"/>
          <w:sz w:val="32"/>
          <w:szCs w:val="32"/>
        </w:rPr>
        <w:t>全年停电情况：</w:t>
      </w:r>
      <w:r w:rsidR="00D51E18" w:rsidRPr="00252345">
        <w:rPr>
          <w:rFonts w:ascii="仿宋_GB2312" w:eastAsia="仿宋_GB2312" w:hint="eastAsia"/>
          <w:color w:val="000000" w:themeColor="text1"/>
          <w:sz w:val="32"/>
          <w:szCs w:val="32"/>
        </w:rPr>
        <w:t>10kV线路因计划检修停电</w:t>
      </w:r>
      <w:r w:rsidR="00D51E18" w:rsidRPr="00252345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349</w:t>
      </w:r>
      <w:r w:rsidR="00D51E18" w:rsidRPr="00252345">
        <w:rPr>
          <w:rFonts w:ascii="仿宋_GB2312" w:eastAsia="仿宋_GB2312" w:hint="eastAsia"/>
          <w:color w:val="000000" w:themeColor="text1"/>
          <w:sz w:val="32"/>
          <w:szCs w:val="32"/>
        </w:rPr>
        <w:t>条次，35kV线路用户因计划检修停电0条</w:t>
      </w:r>
      <w:r w:rsidR="00D51E18" w:rsidRPr="00D51E18">
        <w:rPr>
          <w:rFonts w:ascii="仿宋_GB2312" w:eastAsia="仿宋_GB2312" w:hint="eastAsia"/>
          <w:color w:val="000000" w:themeColor="text1"/>
          <w:sz w:val="32"/>
          <w:szCs w:val="32"/>
        </w:rPr>
        <w:t>次；10kV线路因故障停电758条次（其中雷击引起326条次），35kV线路因故障停电</w:t>
      </w:r>
      <w:r w:rsidR="00D51E18" w:rsidRPr="00D51E18"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16</w:t>
      </w:r>
      <w:r w:rsidR="00D51E18" w:rsidRPr="00D51E18">
        <w:rPr>
          <w:rFonts w:ascii="仿宋_GB2312" w:eastAsia="仿宋_GB2312" w:hint="eastAsia"/>
          <w:color w:val="000000" w:themeColor="text1"/>
          <w:sz w:val="32"/>
          <w:szCs w:val="32"/>
        </w:rPr>
        <w:t>条</w:t>
      </w:r>
      <w:r w:rsidR="00D51E18" w:rsidRPr="00D51E1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次（均为雷击引起）。</w:t>
      </w:r>
    </w:p>
    <w:p w:rsidR="00B61224" w:rsidRPr="00B61224" w:rsidRDefault="00B61224" w:rsidP="00B61224">
      <w:pPr>
        <w:pStyle w:val="1"/>
        <w:ind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B61224">
        <w:rPr>
          <w:rFonts w:ascii="仿宋_GB2312" w:eastAsia="仿宋_GB2312" w:hint="eastAsia"/>
          <w:color w:val="000000" w:themeColor="text1"/>
          <w:sz w:val="32"/>
          <w:szCs w:val="32"/>
        </w:rPr>
        <w:t>全年抢修情况：</w:t>
      </w:r>
      <w:r w:rsidRPr="00B61224">
        <w:rPr>
          <w:rFonts w:ascii="仿宋_GB2312" w:eastAsia="仿宋_GB2312"/>
          <w:color w:val="000000" w:themeColor="text1"/>
          <w:sz w:val="32"/>
          <w:szCs w:val="32"/>
        </w:rPr>
        <w:t>2017</w:t>
      </w:r>
      <w:r w:rsidRPr="00B61224">
        <w:rPr>
          <w:rFonts w:ascii="仿宋_GB2312" w:eastAsia="仿宋_GB2312" w:hint="eastAsia"/>
          <w:color w:val="000000" w:themeColor="text1"/>
          <w:sz w:val="32"/>
          <w:szCs w:val="32"/>
        </w:rPr>
        <w:t>年共进行故障抢修</w:t>
      </w:r>
      <w:r w:rsidRPr="00B61224">
        <w:rPr>
          <w:rFonts w:ascii="仿宋_GB2312" w:eastAsia="仿宋_GB2312"/>
          <w:color w:val="000000" w:themeColor="text1"/>
          <w:sz w:val="32"/>
          <w:szCs w:val="32"/>
        </w:rPr>
        <w:t>8747</w:t>
      </w:r>
      <w:r w:rsidRPr="00B61224">
        <w:rPr>
          <w:rFonts w:ascii="仿宋_GB2312" w:eastAsia="仿宋_GB2312" w:hint="eastAsia"/>
          <w:color w:val="000000" w:themeColor="text1"/>
          <w:sz w:val="32"/>
          <w:szCs w:val="32"/>
        </w:rPr>
        <w:t>次，其中主动抢修</w:t>
      </w:r>
      <w:r w:rsidRPr="00B61224">
        <w:rPr>
          <w:rFonts w:ascii="仿宋_GB2312" w:eastAsia="仿宋_GB2312"/>
          <w:color w:val="000000" w:themeColor="text1"/>
          <w:sz w:val="32"/>
          <w:szCs w:val="32"/>
        </w:rPr>
        <w:t>4158</w:t>
      </w:r>
      <w:r w:rsidRPr="00B61224">
        <w:rPr>
          <w:rFonts w:ascii="仿宋_GB2312" w:eastAsia="仿宋_GB2312" w:hint="eastAsia"/>
          <w:color w:val="000000" w:themeColor="text1"/>
          <w:sz w:val="32"/>
          <w:szCs w:val="32"/>
        </w:rPr>
        <w:t>次；故障报修平均处理时长</w:t>
      </w:r>
      <w:r w:rsidRPr="00B61224">
        <w:rPr>
          <w:rFonts w:ascii="仿宋_GB2312" w:eastAsia="仿宋_GB2312"/>
          <w:color w:val="000000" w:themeColor="text1"/>
          <w:sz w:val="32"/>
          <w:szCs w:val="32"/>
        </w:rPr>
        <w:t>0.9685</w:t>
      </w:r>
      <w:r w:rsidRPr="00B61224">
        <w:rPr>
          <w:rFonts w:ascii="仿宋_GB2312" w:eastAsia="仿宋_GB2312" w:hint="eastAsia"/>
          <w:color w:val="000000" w:themeColor="text1"/>
          <w:sz w:val="32"/>
          <w:szCs w:val="32"/>
        </w:rPr>
        <w:t>小时。</w:t>
      </w:r>
    </w:p>
    <w:p w:rsidR="00AF4B73" w:rsidRPr="003A1BB2" w:rsidRDefault="00AF4B73" w:rsidP="00D3455F">
      <w:pPr>
        <w:pStyle w:val="1"/>
        <w:ind w:firstLine="643"/>
        <w:jc w:val="left"/>
        <w:rPr>
          <w:rFonts w:ascii="仿宋_GB2312" w:eastAsia="仿宋_GB2312"/>
          <w:b/>
          <w:sz w:val="32"/>
          <w:szCs w:val="32"/>
        </w:rPr>
      </w:pPr>
      <w:r w:rsidRPr="003A1BB2">
        <w:rPr>
          <w:rFonts w:ascii="仿宋_GB2312" w:eastAsia="仿宋_GB2312" w:hint="eastAsia"/>
          <w:b/>
          <w:sz w:val="32"/>
          <w:szCs w:val="32"/>
        </w:rPr>
        <w:t>二、企业供电信息公开工作情况</w:t>
      </w:r>
    </w:p>
    <w:p w:rsidR="00D45665" w:rsidRDefault="00D45665" w:rsidP="009D0E78">
      <w:pPr>
        <w:autoSpaceDN w:val="0"/>
        <w:spacing w:line="430" w:lineRule="atLeast"/>
        <w:ind w:firstLineChars="200" w:firstLine="640"/>
        <w:jc w:val="left"/>
        <w:rPr>
          <w:rFonts w:ascii="瀹嬩綋"/>
          <w:sz w:val="18"/>
        </w:rPr>
      </w:pPr>
      <w:r>
        <w:rPr>
          <w:rFonts w:ascii="仿宋_GB2312" w:eastAsia="仿宋_GB2312" w:hAnsi="仿宋_GB2312" w:hint="eastAsia"/>
          <w:sz w:val="32"/>
        </w:rPr>
        <w:t>永嘉公司</w:t>
      </w:r>
      <w:r>
        <w:rPr>
          <w:rFonts w:ascii="仿宋_GB2312" w:eastAsia="仿宋_GB2312" w:hAnsi="仿宋_GB2312"/>
          <w:sz w:val="32"/>
        </w:rPr>
        <w:t>高度重视供电企业信息公开工作，</w:t>
      </w:r>
      <w:r w:rsidR="009D0E78">
        <w:rPr>
          <w:rFonts w:ascii="仿宋_GB2312" w:eastAsia="仿宋_GB2312" w:hAnsi="仿宋_GB2312" w:hint="eastAsia"/>
          <w:sz w:val="32"/>
        </w:rPr>
        <w:t>成立了</w:t>
      </w:r>
      <w:r w:rsidR="009D0E78" w:rsidRPr="00D45665">
        <w:rPr>
          <w:rFonts w:ascii="仿宋_GB2312" w:eastAsia="仿宋_GB2312" w:hAnsi="仿宋_GB2312" w:hint="eastAsia"/>
          <w:sz w:val="32"/>
        </w:rPr>
        <w:t>电力信息公开领导小组</w:t>
      </w:r>
      <w:r w:rsidR="009D0E78">
        <w:rPr>
          <w:rFonts w:ascii="仿宋_GB2312" w:eastAsia="仿宋_GB2312" w:hAnsi="仿宋_GB2312" w:hint="eastAsia"/>
          <w:sz w:val="32"/>
        </w:rPr>
        <w:t>，下设</w:t>
      </w:r>
      <w:r w:rsidR="009D0E78" w:rsidRPr="002634A9">
        <w:rPr>
          <w:rFonts w:ascii="仿宋_GB2312" w:eastAsia="仿宋_GB2312" w:hint="eastAsia"/>
          <w:sz w:val="32"/>
          <w:szCs w:val="32"/>
        </w:rPr>
        <w:t>信息公开工作小组</w:t>
      </w:r>
      <w:r w:rsidR="009D0E78">
        <w:rPr>
          <w:rFonts w:ascii="仿宋_GB2312" w:eastAsia="仿宋_GB2312" w:hint="eastAsia"/>
          <w:sz w:val="32"/>
          <w:szCs w:val="32"/>
        </w:rPr>
        <w:t>，</w:t>
      </w:r>
      <w:r w:rsidR="009D0E78">
        <w:rPr>
          <w:rFonts w:ascii="仿宋_GB2312" w:eastAsia="仿宋_GB2312" w:hAnsi="仿宋_GB2312" w:hint="eastAsia"/>
          <w:sz w:val="32"/>
        </w:rPr>
        <w:t>并</w:t>
      </w:r>
      <w:r>
        <w:rPr>
          <w:rFonts w:ascii="仿宋_GB2312" w:eastAsia="仿宋_GB2312" w:hAnsi="仿宋_GB2312" w:hint="eastAsia"/>
          <w:sz w:val="32"/>
        </w:rPr>
        <w:t>根据公司人员变动情况</w:t>
      </w:r>
      <w:r>
        <w:rPr>
          <w:rFonts w:ascii="仿宋_GB2312" w:eastAsia="仿宋_GB2312" w:hAnsi="仿宋_GB2312"/>
          <w:sz w:val="32"/>
        </w:rPr>
        <w:t>及时</w:t>
      </w:r>
      <w:r>
        <w:rPr>
          <w:rFonts w:ascii="仿宋_GB2312" w:eastAsia="仿宋_GB2312" w:hAnsi="仿宋_GB2312" w:hint="eastAsia"/>
          <w:sz w:val="32"/>
        </w:rPr>
        <w:t>调整公司</w:t>
      </w:r>
      <w:r>
        <w:rPr>
          <w:rFonts w:ascii="仿宋_GB2312" w:eastAsia="仿宋_GB2312" w:hAnsi="仿宋_GB2312"/>
          <w:sz w:val="32"/>
        </w:rPr>
        <w:t>供电信息公开领导小组，明确了信息公开工作的组织机构、部门职责、公开内容及相关流程等基本内容，做到</w:t>
      </w:r>
      <w:r w:rsidR="009D0E78">
        <w:rPr>
          <w:rFonts w:ascii="仿宋_GB2312" w:eastAsia="仿宋_GB2312" w:hAnsi="仿宋_GB2312" w:hint="eastAsia"/>
          <w:sz w:val="32"/>
        </w:rPr>
        <w:t>具体工作专人</w:t>
      </w:r>
      <w:r>
        <w:rPr>
          <w:rFonts w:ascii="仿宋_GB2312" w:eastAsia="仿宋_GB2312" w:hAnsi="仿宋_GB2312"/>
          <w:sz w:val="32"/>
        </w:rPr>
        <w:t>承办，责任到人</w:t>
      </w:r>
      <w:r w:rsidR="009D0E78">
        <w:rPr>
          <w:rFonts w:ascii="仿宋_GB2312" w:eastAsia="仿宋_GB2312" w:hAnsi="仿宋_GB2312" w:hint="eastAsia"/>
          <w:sz w:val="32"/>
        </w:rPr>
        <w:t>。</w:t>
      </w:r>
    </w:p>
    <w:p w:rsidR="00D45665" w:rsidRPr="00430F76" w:rsidRDefault="00D45665" w:rsidP="00D45665">
      <w:pPr>
        <w:spacing w:line="572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为</w:t>
      </w:r>
      <w:r>
        <w:rPr>
          <w:rFonts w:ascii="仿宋_GB2312" w:eastAsia="仿宋_GB2312" w:hAnsi="仿宋_GB2312"/>
          <w:sz w:val="32"/>
        </w:rPr>
        <w:t>确保信息公开工作稳步开展</w:t>
      </w:r>
      <w:r>
        <w:rPr>
          <w:rFonts w:ascii="仿宋_GB2312" w:eastAsia="仿宋_GB2312" w:hAnsi="仿宋_GB2312" w:hint="eastAsia"/>
          <w:sz w:val="32"/>
        </w:rPr>
        <w:t>，公司</w:t>
      </w:r>
      <w:r>
        <w:rPr>
          <w:rFonts w:ascii="仿宋_GB2312" w:eastAsia="仿宋_GB2312" w:hAnsi="仿宋_GB2312"/>
          <w:sz w:val="32"/>
        </w:rPr>
        <w:t>编制了《</w:t>
      </w:r>
      <w:r>
        <w:rPr>
          <w:rFonts w:ascii="仿宋_GB2312" w:eastAsia="仿宋_GB2312" w:hAnsi="仿宋_GB2312" w:hint="eastAsia"/>
          <w:sz w:val="32"/>
        </w:rPr>
        <w:t>国网</w:t>
      </w:r>
      <w:r w:rsidRPr="00D45665">
        <w:rPr>
          <w:rFonts w:ascii="仿宋_GB2312" w:eastAsia="仿宋_GB2312" w:hAnsi="仿宋_GB2312" w:hint="eastAsia"/>
          <w:sz w:val="32"/>
        </w:rPr>
        <w:t>永嘉县供电</w:t>
      </w:r>
      <w:r>
        <w:rPr>
          <w:rFonts w:ascii="仿宋_GB2312" w:eastAsia="仿宋_GB2312" w:hAnsi="仿宋_GB2312" w:hint="eastAsia"/>
          <w:sz w:val="32"/>
        </w:rPr>
        <w:t>公司</w:t>
      </w:r>
      <w:r w:rsidRPr="00D45665">
        <w:rPr>
          <w:rFonts w:ascii="仿宋_GB2312" w:eastAsia="仿宋_GB2312" w:hAnsi="仿宋_GB2312" w:hint="eastAsia"/>
          <w:sz w:val="32"/>
        </w:rPr>
        <w:t>供电企业信息公开实施</w:t>
      </w:r>
      <w:r w:rsidR="00756F5A">
        <w:rPr>
          <w:rFonts w:ascii="仿宋_GB2312" w:eastAsia="仿宋_GB2312" w:hAnsi="仿宋_GB2312" w:hint="eastAsia"/>
          <w:sz w:val="32"/>
        </w:rPr>
        <w:t>方案</w:t>
      </w:r>
      <w:r>
        <w:rPr>
          <w:rFonts w:ascii="仿宋_GB2312" w:eastAsia="仿宋_GB2312" w:hAnsi="仿宋_GB2312"/>
          <w:sz w:val="32"/>
        </w:rPr>
        <w:t>》</w:t>
      </w:r>
      <w:r w:rsidR="00756F5A">
        <w:rPr>
          <w:rFonts w:ascii="仿宋_GB2312" w:eastAsia="仿宋_GB2312" w:hAnsi="仿宋_GB2312" w:hint="eastAsia"/>
          <w:sz w:val="32"/>
        </w:rPr>
        <w:t>及</w:t>
      </w:r>
      <w:r>
        <w:rPr>
          <w:rFonts w:ascii="仿宋_GB2312" w:eastAsia="仿宋_GB2312" w:hAnsi="仿宋_GB2312"/>
          <w:sz w:val="32"/>
        </w:rPr>
        <w:t>《</w:t>
      </w:r>
      <w:r>
        <w:rPr>
          <w:rFonts w:ascii="仿宋_GB2312" w:eastAsia="仿宋_GB2312" w:hAnsi="仿宋_GB2312" w:hint="eastAsia"/>
          <w:sz w:val="32"/>
        </w:rPr>
        <w:t>国网</w:t>
      </w:r>
      <w:r w:rsidRPr="00D45665">
        <w:rPr>
          <w:rFonts w:ascii="仿宋_GB2312" w:eastAsia="仿宋_GB2312" w:hAnsi="仿宋_GB2312" w:hint="eastAsia"/>
          <w:sz w:val="32"/>
        </w:rPr>
        <w:t>永嘉县供电</w:t>
      </w:r>
      <w:r>
        <w:rPr>
          <w:rFonts w:ascii="仿宋_GB2312" w:eastAsia="仿宋_GB2312" w:hAnsi="仿宋_GB2312" w:hint="eastAsia"/>
          <w:sz w:val="32"/>
        </w:rPr>
        <w:t>公司</w:t>
      </w:r>
      <w:r w:rsidRPr="00D45665">
        <w:rPr>
          <w:rFonts w:ascii="仿宋_GB2312" w:eastAsia="仿宋_GB2312" w:hAnsi="仿宋_GB2312" w:hint="eastAsia"/>
          <w:sz w:val="32"/>
        </w:rPr>
        <w:t>供电企业信息公开操作手册</w:t>
      </w:r>
      <w:r>
        <w:rPr>
          <w:rFonts w:ascii="仿宋_GB2312" w:eastAsia="仿宋_GB2312" w:hAnsi="仿宋_GB2312"/>
          <w:sz w:val="32"/>
        </w:rPr>
        <w:t>》，</w:t>
      </w:r>
      <w:r w:rsidR="009D0E78">
        <w:rPr>
          <w:rFonts w:ascii="仿宋_GB2312" w:eastAsia="仿宋_GB2312" w:hAnsi="仿宋_GB2312" w:hint="eastAsia"/>
          <w:sz w:val="32"/>
        </w:rPr>
        <w:t>进一步</w:t>
      </w:r>
      <w:r>
        <w:rPr>
          <w:rFonts w:ascii="仿宋_GB2312" w:eastAsia="仿宋_GB2312" w:hAnsi="仿宋_GB2312"/>
          <w:sz w:val="32"/>
        </w:rPr>
        <w:t>明确供电企业信息公开工作的指导思想和工作目标，细化各阶段的工作重点，严格公开时限，保证信息公开工作的稳步推进</w:t>
      </w:r>
      <w:r w:rsidRPr="00DC5619">
        <w:rPr>
          <w:rFonts w:ascii="仿宋_GB2312" w:eastAsia="仿宋_GB2312" w:hAnsi="仿宋_GB2312"/>
          <w:sz w:val="32"/>
        </w:rPr>
        <w:t>。</w:t>
      </w:r>
      <w:r w:rsidR="003A1A34">
        <w:rPr>
          <w:rFonts w:ascii="仿宋_GB2312" w:eastAsia="仿宋_GB2312" w:hAnsi="仿宋_GB2312" w:hint="eastAsia"/>
          <w:sz w:val="32"/>
        </w:rPr>
        <w:t>2017</w:t>
      </w:r>
      <w:r w:rsidRPr="00DC5619">
        <w:rPr>
          <w:rFonts w:ascii="仿宋_GB2312" w:eastAsia="仿宋_GB2312" w:hAnsi="仿宋_GB2312" w:hint="eastAsia"/>
          <w:sz w:val="32"/>
        </w:rPr>
        <w:t>年，</w:t>
      </w:r>
      <w:r w:rsidRPr="00430F76">
        <w:rPr>
          <w:rFonts w:ascii="仿宋_GB2312" w:eastAsia="仿宋_GB2312" w:hAnsi="仿宋_GB2312" w:hint="eastAsia"/>
          <w:color w:val="000000" w:themeColor="text1"/>
          <w:sz w:val="32"/>
        </w:rPr>
        <w:t>永嘉公司</w:t>
      </w:r>
      <w:r w:rsidRPr="00430F76">
        <w:rPr>
          <w:rFonts w:ascii="仿宋_GB2312" w:eastAsia="仿宋_GB2312" w:cs="仿宋_GB2312" w:hint="eastAsia"/>
          <w:color w:val="000000" w:themeColor="text1"/>
          <w:sz w:val="32"/>
          <w:szCs w:val="32"/>
        </w:rPr>
        <w:t>通过县府信息公开网站主动公开信息</w:t>
      </w:r>
      <w:r w:rsidR="00430F76" w:rsidRPr="00430F76">
        <w:rPr>
          <w:rFonts w:ascii="仿宋_GB2312" w:eastAsia="仿宋_GB2312" w:cs="仿宋_GB2312" w:hint="eastAsia"/>
          <w:color w:val="000000" w:themeColor="text1"/>
          <w:sz w:val="32"/>
          <w:szCs w:val="32"/>
        </w:rPr>
        <w:t>44</w:t>
      </w:r>
      <w:r w:rsidRPr="00430F76">
        <w:rPr>
          <w:rFonts w:ascii="仿宋_GB2312" w:eastAsia="仿宋_GB2312" w:cs="仿宋_GB2312" w:hint="eastAsia"/>
          <w:color w:val="000000" w:themeColor="text1"/>
          <w:sz w:val="32"/>
          <w:szCs w:val="32"/>
        </w:rPr>
        <w:t>条，其中停电计划信息等</w:t>
      </w:r>
      <w:r w:rsidRPr="00430F7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通知公告</w:t>
      </w:r>
      <w:r w:rsidR="00430F76" w:rsidRPr="00430F7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36</w:t>
      </w:r>
      <w:r w:rsidRPr="00430F7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条、企业相关信息</w:t>
      </w:r>
      <w:r w:rsidR="00430F76" w:rsidRPr="00430F7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8</w:t>
      </w:r>
      <w:r w:rsidRPr="00430F76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条</w:t>
      </w:r>
      <w:r w:rsidR="009D0E78" w:rsidRPr="00430F76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</w:t>
      </w:r>
      <w:r w:rsidRPr="00430F76">
        <w:rPr>
          <w:rFonts w:ascii="仿宋_GB2312" w:eastAsia="仿宋_GB2312" w:cs="宋体" w:hint="eastAsia"/>
          <w:color w:val="000000" w:themeColor="text1"/>
          <w:sz w:val="32"/>
          <w:szCs w:val="32"/>
        </w:rPr>
        <w:t>发布范围覆盖到了街道、村委、小区、单位、个人。</w:t>
      </w:r>
      <w:r w:rsidR="009D0E78" w:rsidRPr="00430F76">
        <w:rPr>
          <w:rFonts w:ascii="仿宋_GB2312" w:eastAsia="仿宋_GB2312" w:cs="宋体" w:hint="eastAsia"/>
          <w:color w:val="000000" w:themeColor="text1"/>
          <w:sz w:val="32"/>
          <w:szCs w:val="32"/>
        </w:rPr>
        <w:t>公司向监管部门及时报送了</w:t>
      </w:r>
      <w:r w:rsidR="003A1A34" w:rsidRPr="00430F76">
        <w:rPr>
          <w:rFonts w:ascii="仿宋_GB2312" w:eastAsia="仿宋_GB2312" w:cs="宋体" w:hint="eastAsia"/>
          <w:color w:val="000000" w:themeColor="text1"/>
          <w:sz w:val="32"/>
          <w:szCs w:val="32"/>
        </w:rPr>
        <w:t>201</w:t>
      </w:r>
      <w:r w:rsidR="007563AF">
        <w:rPr>
          <w:rFonts w:ascii="仿宋_GB2312" w:eastAsia="仿宋_GB2312" w:cs="宋体" w:hint="eastAsia"/>
          <w:color w:val="000000" w:themeColor="text1"/>
          <w:sz w:val="32"/>
          <w:szCs w:val="32"/>
        </w:rPr>
        <w:t>7</w:t>
      </w:r>
      <w:r w:rsidR="009D0E78" w:rsidRPr="00430F76">
        <w:rPr>
          <w:rFonts w:ascii="仿宋_GB2312" w:eastAsia="仿宋_GB2312" w:cs="宋体" w:hint="eastAsia"/>
          <w:color w:val="000000" w:themeColor="text1"/>
          <w:sz w:val="32"/>
          <w:szCs w:val="32"/>
        </w:rPr>
        <w:t>年供电情况信息，包括</w:t>
      </w:r>
      <w:r w:rsidR="003A1A34" w:rsidRPr="00430F76">
        <w:rPr>
          <w:rFonts w:ascii="仿宋_GB2312" w:eastAsia="仿宋_GB2312" w:cs="宋体" w:hint="eastAsia"/>
          <w:color w:val="000000" w:themeColor="text1"/>
          <w:sz w:val="32"/>
          <w:szCs w:val="32"/>
        </w:rPr>
        <w:t>201</w:t>
      </w:r>
      <w:r w:rsidR="007563AF">
        <w:rPr>
          <w:rFonts w:ascii="仿宋_GB2312" w:eastAsia="仿宋_GB2312" w:cs="宋体" w:hint="eastAsia"/>
          <w:color w:val="000000" w:themeColor="text1"/>
          <w:sz w:val="32"/>
          <w:szCs w:val="32"/>
        </w:rPr>
        <w:t>7</w:t>
      </w:r>
      <w:r w:rsidR="009D0E78" w:rsidRPr="00430F76">
        <w:rPr>
          <w:rFonts w:ascii="仿宋_GB2312" w:eastAsia="仿宋_GB2312" w:cs="宋体" w:hint="eastAsia"/>
          <w:color w:val="000000" w:themeColor="text1"/>
          <w:sz w:val="32"/>
          <w:szCs w:val="32"/>
        </w:rPr>
        <w:t>年信息公开年报等。</w:t>
      </w:r>
      <w:r w:rsidR="003A1A34" w:rsidRPr="00430F76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201</w:t>
      </w:r>
      <w:r w:rsidR="007563AF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8</w:t>
      </w:r>
      <w:bookmarkStart w:id="0" w:name="_GoBack"/>
      <w:bookmarkEnd w:id="0"/>
      <w:r w:rsidR="009D0E78" w:rsidRPr="00430F76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年公司未收到相关信息公开的申请。</w:t>
      </w:r>
    </w:p>
    <w:p w:rsidR="00C857F8" w:rsidRPr="00F267C3" w:rsidRDefault="00CE2BC6" w:rsidP="00F267C3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三、信息</w:t>
      </w:r>
      <w:r w:rsidR="00C857F8" w:rsidRPr="00F267C3">
        <w:rPr>
          <w:rFonts w:ascii="仿宋_GB2312" w:eastAsia="仿宋_GB2312" w:hAnsi="仿宋_GB2312" w:cs="仿宋_GB2312" w:hint="eastAsia"/>
          <w:b/>
          <w:sz w:val="32"/>
          <w:szCs w:val="32"/>
        </w:rPr>
        <w:t>公开途径和</w:t>
      </w:r>
      <w:r w:rsidR="00DB4AF7" w:rsidRPr="00F267C3">
        <w:rPr>
          <w:rFonts w:ascii="仿宋_GB2312" w:eastAsia="仿宋_GB2312" w:hAnsi="仿宋_GB2312" w:cs="仿宋_GB2312" w:hint="eastAsia"/>
          <w:b/>
          <w:sz w:val="32"/>
          <w:szCs w:val="32"/>
        </w:rPr>
        <w:t>形式</w:t>
      </w:r>
    </w:p>
    <w:p w:rsidR="00F267C3" w:rsidRDefault="00DB4AF7" w:rsidP="00C857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永嘉公司十分重视信息公开工作，多渠道、</w:t>
      </w:r>
      <w:r w:rsidR="00767D1E">
        <w:rPr>
          <w:rFonts w:ascii="仿宋_GB2312" w:eastAsia="仿宋_GB2312" w:hAnsi="仿宋_GB2312" w:cs="仿宋_GB2312" w:hint="eastAsia"/>
          <w:sz w:val="32"/>
          <w:szCs w:val="32"/>
        </w:rPr>
        <w:t>全方位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及时发布各类信息：</w:t>
      </w:r>
      <w:r w:rsidR="00767D1E"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在营业厅</w:t>
      </w:r>
      <w:r w:rsidR="00767D1E">
        <w:rPr>
          <w:rFonts w:ascii="仿宋_GB2312" w:eastAsia="仿宋_GB2312" w:hAnsi="仿宋_GB2312" w:cs="仿宋_GB2312" w:hint="eastAsia"/>
          <w:sz w:val="32"/>
          <w:szCs w:val="32"/>
        </w:rPr>
        <w:t>公开电费</w:t>
      </w:r>
      <w:r>
        <w:rPr>
          <w:rFonts w:ascii="仿宋_GB2312" w:eastAsia="仿宋_GB2312" w:hAnsi="仿宋_GB2312" w:cs="仿宋_GB2312" w:hint="eastAsia"/>
          <w:sz w:val="32"/>
          <w:szCs w:val="32"/>
        </w:rPr>
        <w:t>电价标准、</w:t>
      </w:r>
      <w:r w:rsidR="009D0E78" w:rsidRPr="009D0E78">
        <w:rPr>
          <w:rFonts w:ascii="仿宋_GB2312" w:eastAsia="仿宋_GB2312" w:hAnsi="仿宋_GB2312" w:cs="仿宋_GB2312" w:hint="eastAsia"/>
          <w:sz w:val="32"/>
          <w:szCs w:val="32"/>
        </w:rPr>
        <w:t>收费项目及依据</w:t>
      </w:r>
      <w:r w:rsidR="009D0E78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用电业务</w:t>
      </w:r>
      <w:r w:rsidR="009D0E78">
        <w:rPr>
          <w:rFonts w:ascii="仿宋_GB2312" w:eastAsia="仿宋_GB2312" w:hAnsi="仿宋_GB2312" w:cs="仿宋_GB2312" w:hint="eastAsia"/>
          <w:sz w:val="32"/>
          <w:szCs w:val="32"/>
        </w:rPr>
        <w:t>流程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9D0E78">
        <w:rPr>
          <w:rFonts w:ascii="仿宋_GB2312" w:eastAsia="仿宋_GB2312" w:hAnsi="仿宋_GB2312" w:cs="仿宋_GB2312" w:hint="eastAsia"/>
          <w:sz w:val="32"/>
          <w:szCs w:val="32"/>
        </w:rPr>
        <w:t>“三个十条”</w:t>
      </w:r>
      <w:r w:rsidR="009D0E78">
        <w:rPr>
          <w:rFonts w:ascii="宋体" w:eastAsia="宋体" w:hAnsi="宋体" w:cs="宋体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F267C3">
        <w:rPr>
          <w:rFonts w:ascii="仿宋_GB2312" w:eastAsia="仿宋_GB2312" w:hAnsi="仿宋_GB2312" w:cs="仿宋_GB2312" w:hint="eastAsia"/>
          <w:sz w:val="32"/>
          <w:szCs w:val="32"/>
        </w:rPr>
        <w:t>免费向客户赠送</w:t>
      </w:r>
      <w:r w:rsidR="00F267C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纸质办理用电业务指南</w:t>
      </w:r>
      <w:r w:rsidR="00767D1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267C3">
        <w:rPr>
          <w:rFonts w:ascii="仿宋_GB2312" w:eastAsia="仿宋_GB2312" w:hAnsi="仿宋_GB2312" w:cs="仿宋_GB2312" w:hint="eastAsia"/>
          <w:sz w:val="32"/>
          <w:szCs w:val="32"/>
        </w:rPr>
        <w:t>安全用电等各类宣传手册。</w:t>
      </w:r>
      <w:r w:rsidR="00767D1E"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二是</w:t>
      </w:r>
      <w:r w:rsidR="00F267C3">
        <w:rPr>
          <w:rFonts w:ascii="仿宋_GB2312" w:eastAsia="仿宋_GB2312" w:hAnsi="仿宋_GB2312" w:cs="仿宋_GB2312" w:hint="eastAsia"/>
          <w:sz w:val="32"/>
          <w:szCs w:val="32"/>
        </w:rPr>
        <w:t>通过95598服务热</w:t>
      </w:r>
      <w:r w:rsidR="00767D1E">
        <w:rPr>
          <w:rFonts w:ascii="仿宋_GB2312" w:eastAsia="仿宋_GB2312" w:hAnsi="仿宋_GB2312" w:cs="仿宋_GB2312" w:hint="eastAsia"/>
          <w:sz w:val="32"/>
          <w:szCs w:val="32"/>
        </w:rPr>
        <w:t>线、《今日永嘉》、短信、电话通知、营业厅电子滚动屏发布停电信息。</w:t>
      </w:r>
      <w:r w:rsidR="00767D1E"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F267C3">
        <w:rPr>
          <w:rFonts w:ascii="仿宋_GB2312" w:eastAsia="仿宋_GB2312" w:hAnsi="仿宋_GB2312" w:cs="仿宋_GB2312" w:hint="eastAsia"/>
          <w:sz w:val="32"/>
          <w:szCs w:val="32"/>
        </w:rPr>
        <w:t>每年定期走访客户，向</w:t>
      </w:r>
      <w:r w:rsidR="003C0968">
        <w:rPr>
          <w:rFonts w:ascii="仿宋_GB2312" w:eastAsia="仿宋_GB2312" w:hAnsi="仿宋_GB2312" w:cs="仿宋_GB2312" w:hint="eastAsia"/>
          <w:sz w:val="32"/>
          <w:szCs w:val="32"/>
        </w:rPr>
        <w:t>客户公开</w:t>
      </w:r>
      <w:r w:rsidR="0083332A">
        <w:rPr>
          <w:rFonts w:ascii="仿宋_GB2312" w:eastAsia="仿宋_GB2312" w:hAnsi="仿宋_GB2312" w:cs="仿宋_GB2312" w:hint="eastAsia"/>
          <w:sz w:val="32"/>
          <w:szCs w:val="32"/>
        </w:rPr>
        <w:t>供电服务规定、</w:t>
      </w:r>
      <w:r w:rsidR="00F267C3">
        <w:rPr>
          <w:rFonts w:ascii="仿宋_GB2312" w:eastAsia="仿宋_GB2312" w:hAnsi="仿宋_GB2312" w:cs="仿宋_GB2312" w:hint="eastAsia"/>
          <w:sz w:val="32"/>
          <w:szCs w:val="32"/>
        </w:rPr>
        <w:t>有序用电方案等。</w:t>
      </w:r>
    </w:p>
    <w:p w:rsidR="00767D1E" w:rsidRPr="00767D1E" w:rsidRDefault="00767D1E" w:rsidP="00767D1E">
      <w:pPr>
        <w:autoSpaceDN w:val="0"/>
        <w:spacing w:line="430" w:lineRule="atLeast"/>
        <w:ind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四、企业供电信息公开工作存在的问题</w:t>
      </w:r>
    </w:p>
    <w:p w:rsidR="00767D1E" w:rsidRDefault="003A1A34" w:rsidP="00767D1E">
      <w:pPr>
        <w:autoSpaceDN w:val="0"/>
        <w:spacing w:line="430" w:lineRule="atLeast"/>
        <w:ind w:firstLine="640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t>2017</w:t>
      </w:r>
      <w:r w:rsidR="00767D1E">
        <w:rPr>
          <w:rFonts w:ascii="仿宋_GB2312" w:eastAsia="仿宋_GB2312" w:hAnsi="仿宋_GB2312"/>
          <w:sz w:val="32"/>
        </w:rPr>
        <w:t>年，</w:t>
      </w:r>
      <w:r w:rsidR="00767D1E">
        <w:rPr>
          <w:rFonts w:ascii="仿宋_GB2312" w:eastAsia="仿宋_GB2312" w:hAnsi="仿宋_GB2312" w:hint="eastAsia"/>
          <w:sz w:val="32"/>
        </w:rPr>
        <w:t>公司在</w:t>
      </w:r>
      <w:r w:rsidR="00767D1E">
        <w:rPr>
          <w:rFonts w:ascii="仿宋_GB2312" w:eastAsia="仿宋_GB2312" w:hAnsi="仿宋_GB2312"/>
          <w:sz w:val="32"/>
        </w:rPr>
        <w:t>供电信息公开宣传工作虽取得一定成效，但在工作过程中也存在一些不够完善的方面，仍需不断改进</w:t>
      </w:r>
      <w:r w:rsidR="00767D1E">
        <w:rPr>
          <w:rFonts w:ascii="仿宋_GB2312" w:eastAsia="仿宋_GB2312" w:hAnsi="仿宋_GB2312" w:hint="eastAsia"/>
          <w:sz w:val="32"/>
        </w:rPr>
        <w:t>，如信息公开</w:t>
      </w:r>
      <w:r w:rsidR="00767D1E">
        <w:rPr>
          <w:rFonts w:ascii="仿宋_GB2312" w:eastAsia="仿宋_GB2312" w:hint="eastAsia"/>
          <w:sz w:val="32"/>
          <w:szCs w:val="32"/>
        </w:rPr>
        <w:t>操作流程需进一步完善和细化</w:t>
      </w:r>
      <w:r w:rsidR="00767D1E">
        <w:rPr>
          <w:rFonts w:ascii="仿宋_GB2312" w:eastAsia="仿宋_GB2312" w:hAnsi="仿宋_GB2312"/>
          <w:sz w:val="32"/>
        </w:rPr>
        <w:t>。</w:t>
      </w:r>
    </w:p>
    <w:p w:rsidR="00F267C3" w:rsidRPr="00767D1E" w:rsidRDefault="00767D1E" w:rsidP="00767D1E">
      <w:pPr>
        <w:autoSpaceDN w:val="0"/>
        <w:spacing w:line="430" w:lineRule="atLeast"/>
        <w:ind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F267C3"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、201</w:t>
      </w:r>
      <w:r w:rsidR="00EF6422">
        <w:rPr>
          <w:rFonts w:ascii="仿宋_GB2312" w:eastAsia="仿宋_GB2312" w:hAnsi="仿宋_GB2312" w:cs="仿宋_GB2312" w:hint="eastAsia"/>
          <w:b/>
          <w:sz w:val="32"/>
          <w:szCs w:val="32"/>
        </w:rPr>
        <w:t>8</w:t>
      </w:r>
      <w:r w:rsidR="00F267C3" w:rsidRPr="00767D1E">
        <w:rPr>
          <w:rFonts w:ascii="仿宋_GB2312" w:eastAsia="仿宋_GB2312" w:hAnsi="仿宋_GB2312" w:cs="仿宋_GB2312" w:hint="eastAsia"/>
          <w:b/>
          <w:sz w:val="32"/>
          <w:szCs w:val="32"/>
        </w:rPr>
        <w:t>年度信息公开工作计划</w:t>
      </w:r>
    </w:p>
    <w:p w:rsidR="00F267C3" w:rsidRDefault="00F267C3" w:rsidP="00F267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1、加强组织领导</w:t>
      </w:r>
      <w:r w:rsidR="0083332A">
        <w:rPr>
          <w:rFonts w:ascii="仿宋_GB2312" w:eastAsia="仿宋_GB2312" w:hint="eastAsia"/>
          <w:sz w:val="32"/>
          <w:szCs w:val="32"/>
        </w:rPr>
        <w:t>，进一步加强制度执行力度</w:t>
      </w:r>
      <w:r>
        <w:rPr>
          <w:rFonts w:ascii="仿宋_GB2312" w:eastAsia="仿宋_GB2312" w:hint="eastAsia"/>
          <w:sz w:val="32"/>
          <w:szCs w:val="32"/>
        </w:rPr>
        <w:t>，</w:t>
      </w:r>
      <w:r w:rsidR="0083332A">
        <w:rPr>
          <w:rFonts w:ascii="仿宋_GB2312" w:eastAsia="仿宋_GB2312" w:hint="eastAsia"/>
          <w:sz w:val="32"/>
          <w:szCs w:val="32"/>
        </w:rPr>
        <w:t>严格落实信息主动公开、依申请公开、保密审查等相关制度，按照规定时限公开企业信息，</w:t>
      </w:r>
      <w:r>
        <w:rPr>
          <w:rFonts w:ascii="仿宋_GB2312" w:eastAsia="仿宋_GB2312" w:hint="eastAsia"/>
          <w:sz w:val="32"/>
          <w:szCs w:val="32"/>
        </w:rPr>
        <w:t>确保公开</w:t>
      </w:r>
      <w:r w:rsidR="0083332A">
        <w:rPr>
          <w:rFonts w:ascii="仿宋_GB2312" w:eastAsia="仿宋_GB2312" w:hint="eastAsia"/>
          <w:sz w:val="32"/>
          <w:szCs w:val="32"/>
        </w:rPr>
        <w:t>内容的一致性、及时性和准确性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267C3" w:rsidRDefault="00F267C3" w:rsidP="00F267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F5980">
        <w:rPr>
          <w:rFonts w:ascii="仿宋_GB2312" w:eastAsia="仿宋_GB2312" w:hint="eastAsia"/>
          <w:sz w:val="32"/>
          <w:szCs w:val="32"/>
        </w:rPr>
        <w:t>、</w:t>
      </w:r>
      <w:r w:rsidR="0083332A">
        <w:rPr>
          <w:rFonts w:ascii="仿宋_GB2312" w:eastAsia="仿宋_GB2312" w:hAnsi="仿宋_GB2312"/>
          <w:sz w:val="32"/>
        </w:rPr>
        <w:t>加大信息公开</w:t>
      </w:r>
      <w:r w:rsidR="0083332A">
        <w:rPr>
          <w:rFonts w:ascii="仿宋_GB2312" w:eastAsia="仿宋_GB2312" w:hAnsi="仿宋_GB2312" w:hint="eastAsia"/>
          <w:sz w:val="32"/>
        </w:rPr>
        <w:t>工作</w:t>
      </w:r>
      <w:r w:rsidR="0083332A">
        <w:rPr>
          <w:rFonts w:ascii="仿宋_GB2312" w:eastAsia="仿宋_GB2312" w:hAnsi="仿宋_GB2312"/>
          <w:sz w:val="32"/>
        </w:rPr>
        <w:t>宣传</w:t>
      </w:r>
      <w:r w:rsidR="0083332A">
        <w:rPr>
          <w:rFonts w:ascii="仿宋_GB2312" w:eastAsia="仿宋_GB2312" w:hAnsi="仿宋_GB2312" w:hint="eastAsia"/>
          <w:sz w:val="32"/>
        </w:rPr>
        <w:t>力度</w:t>
      </w:r>
      <w:r w:rsidR="0083332A">
        <w:rPr>
          <w:rFonts w:ascii="仿宋_GB2312" w:eastAsia="仿宋_GB2312" w:hAnsi="仿宋_GB2312"/>
          <w:sz w:val="32"/>
        </w:rPr>
        <w:t>，全面提高供电信息的知晓率，自觉接受公众对</w:t>
      </w:r>
      <w:r w:rsidR="0083332A">
        <w:rPr>
          <w:rFonts w:ascii="仿宋_GB2312" w:eastAsia="仿宋_GB2312" w:hAnsi="仿宋_GB2312" w:hint="eastAsia"/>
          <w:sz w:val="32"/>
        </w:rPr>
        <w:t>公司</w:t>
      </w:r>
      <w:r w:rsidR="0083332A">
        <w:rPr>
          <w:rFonts w:ascii="仿宋_GB2312" w:eastAsia="仿宋_GB2312" w:hAnsi="仿宋_GB2312"/>
          <w:sz w:val="32"/>
        </w:rPr>
        <w:t>信息公开工作的监督。</w:t>
      </w:r>
    </w:p>
    <w:p w:rsidR="001C6780" w:rsidRPr="00AF4B73" w:rsidRDefault="0083332A" w:rsidP="00AF4B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267C3">
        <w:rPr>
          <w:rFonts w:ascii="仿宋_GB2312" w:eastAsia="仿宋_GB2312" w:hint="eastAsia"/>
          <w:sz w:val="32"/>
          <w:szCs w:val="32"/>
        </w:rPr>
        <w:t>、除主动公开的信息外，公司将根据客户的合法申请，按规定提供相应的信息。</w:t>
      </w:r>
    </w:p>
    <w:sectPr w:rsidR="001C6780" w:rsidRPr="00AF4B73" w:rsidSect="00A65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2A" w:rsidRDefault="00F85D2A" w:rsidP="000E65B3">
      <w:r>
        <w:separator/>
      </w:r>
    </w:p>
  </w:endnote>
  <w:endnote w:type="continuationSeparator" w:id="0">
    <w:p w:rsidR="00F85D2A" w:rsidRDefault="00F85D2A" w:rsidP="000E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瀹嬩綋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2A" w:rsidRDefault="00F85D2A" w:rsidP="000E65B3">
      <w:r>
        <w:separator/>
      </w:r>
    </w:p>
  </w:footnote>
  <w:footnote w:type="continuationSeparator" w:id="0">
    <w:p w:rsidR="00F85D2A" w:rsidRDefault="00F85D2A" w:rsidP="000E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2ED"/>
    <w:multiLevelType w:val="hybridMultilevel"/>
    <w:tmpl w:val="6D76B964"/>
    <w:lvl w:ilvl="0" w:tplc="92044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5B3"/>
    <w:rsid w:val="00030E06"/>
    <w:rsid w:val="000514EE"/>
    <w:rsid w:val="00054303"/>
    <w:rsid w:val="000544C7"/>
    <w:rsid w:val="000A284D"/>
    <w:rsid w:val="000C4BF2"/>
    <w:rsid w:val="000C66EF"/>
    <w:rsid w:val="000D3F45"/>
    <w:rsid w:val="000E02CD"/>
    <w:rsid w:val="000E196A"/>
    <w:rsid w:val="000E65B3"/>
    <w:rsid w:val="001144B1"/>
    <w:rsid w:val="00121D5E"/>
    <w:rsid w:val="001314FC"/>
    <w:rsid w:val="00150161"/>
    <w:rsid w:val="001536C4"/>
    <w:rsid w:val="00160BFB"/>
    <w:rsid w:val="001C6780"/>
    <w:rsid w:val="001E171A"/>
    <w:rsid w:val="001E1BAB"/>
    <w:rsid w:val="001E27C5"/>
    <w:rsid w:val="001F5980"/>
    <w:rsid w:val="00220A0D"/>
    <w:rsid w:val="002360EC"/>
    <w:rsid w:val="00252345"/>
    <w:rsid w:val="00257667"/>
    <w:rsid w:val="0026476F"/>
    <w:rsid w:val="002728E1"/>
    <w:rsid w:val="00277217"/>
    <w:rsid w:val="0028194C"/>
    <w:rsid w:val="00283905"/>
    <w:rsid w:val="002A05C8"/>
    <w:rsid w:val="002B223E"/>
    <w:rsid w:val="002B3072"/>
    <w:rsid w:val="002B40E5"/>
    <w:rsid w:val="002B77F2"/>
    <w:rsid w:val="003832AB"/>
    <w:rsid w:val="003900C2"/>
    <w:rsid w:val="00390AF8"/>
    <w:rsid w:val="003A1A34"/>
    <w:rsid w:val="003C0968"/>
    <w:rsid w:val="003F61B6"/>
    <w:rsid w:val="004131CC"/>
    <w:rsid w:val="0042459F"/>
    <w:rsid w:val="00430F76"/>
    <w:rsid w:val="004E3ECC"/>
    <w:rsid w:val="004F5E2F"/>
    <w:rsid w:val="00513673"/>
    <w:rsid w:val="00514680"/>
    <w:rsid w:val="00516819"/>
    <w:rsid w:val="00534DA1"/>
    <w:rsid w:val="005517FD"/>
    <w:rsid w:val="005A5D80"/>
    <w:rsid w:val="005D6FAA"/>
    <w:rsid w:val="00614D2F"/>
    <w:rsid w:val="006812DF"/>
    <w:rsid w:val="00687941"/>
    <w:rsid w:val="006B1E40"/>
    <w:rsid w:val="006C1F4B"/>
    <w:rsid w:val="006D31DF"/>
    <w:rsid w:val="00717CD3"/>
    <w:rsid w:val="00721BA1"/>
    <w:rsid w:val="007563AF"/>
    <w:rsid w:val="00756F5A"/>
    <w:rsid w:val="00767D1E"/>
    <w:rsid w:val="0077461B"/>
    <w:rsid w:val="0079528D"/>
    <w:rsid w:val="007D02CA"/>
    <w:rsid w:val="007E5917"/>
    <w:rsid w:val="007F6354"/>
    <w:rsid w:val="00805437"/>
    <w:rsid w:val="0081009B"/>
    <w:rsid w:val="008237FE"/>
    <w:rsid w:val="0083332A"/>
    <w:rsid w:val="00833ECB"/>
    <w:rsid w:val="00877CFD"/>
    <w:rsid w:val="0088608E"/>
    <w:rsid w:val="00896D1D"/>
    <w:rsid w:val="008A631F"/>
    <w:rsid w:val="008F1954"/>
    <w:rsid w:val="009A3F64"/>
    <w:rsid w:val="009A57AD"/>
    <w:rsid w:val="009B6FDE"/>
    <w:rsid w:val="009C3A54"/>
    <w:rsid w:val="009D0E78"/>
    <w:rsid w:val="009E24B6"/>
    <w:rsid w:val="00A41341"/>
    <w:rsid w:val="00A417DB"/>
    <w:rsid w:val="00A6580D"/>
    <w:rsid w:val="00A97C82"/>
    <w:rsid w:val="00AB6502"/>
    <w:rsid w:val="00AC01D2"/>
    <w:rsid w:val="00AD4938"/>
    <w:rsid w:val="00AD7A12"/>
    <w:rsid w:val="00AE799B"/>
    <w:rsid w:val="00AF4B73"/>
    <w:rsid w:val="00B06FD8"/>
    <w:rsid w:val="00B61224"/>
    <w:rsid w:val="00B725B6"/>
    <w:rsid w:val="00B764D6"/>
    <w:rsid w:val="00BB37CB"/>
    <w:rsid w:val="00BC1801"/>
    <w:rsid w:val="00BF450E"/>
    <w:rsid w:val="00C305F5"/>
    <w:rsid w:val="00C857F8"/>
    <w:rsid w:val="00CD21C9"/>
    <w:rsid w:val="00CE2BC6"/>
    <w:rsid w:val="00D064A1"/>
    <w:rsid w:val="00D27CF4"/>
    <w:rsid w:val="00D3455F"/>
    <w:rsid w:val="00D4512D"/>
    <w:rsid w:val="00D45665"/>
    <w:rsid w:val="00D51E18"/>
    <w:rsid w:val="00D7629C"/>
    <w:rsid w:val="00D91556"/>
    <w:rsid w:val="00DA60DB"/>
    <w:rsid w:val="00DB4AF7"/>
    <w:rsid w:val="00DC5619"/>
    <w:rsid w:val="00DD28F9"/>
    <w:rsid w:val="00DE1EE5"/>
    <w:rsid w:val="00E12045"/>
    <w:rsid w:val="00E575E6"/>
    <w:rsid w:val="00E77E3B"/>
    <w:rsid w:val="00EA0440"/>
    <w:rsid w:val="00EA2166"/>
    <w:rsid w:val="00EC331B"/>
    <w:rsid w:val="00EF0276"/>
    <w:rsid w:val="00EF6422"/>
    <w:rsid w:val="00F169A6"/>
    <w:rsid w:val="00F17236"/>
    <w:rsid w:val="00F252F3"/>
    <w:rsid w:val="00F267C3"/>
    <w:rsid w:val="00F269DA"/>
    <w:rsid w:val="00F85D2A"/>
    <w:rsid w:val="00F96E27"/>
    <w:rsid w:val="00FD1C22"/>
    <w:rsid w:val="00FE370B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117D"/>
  <w15:docId w15:val="{21220077-E63A-477C-8F53-48578F6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5B3"/>
    <w:rPr>
      <w:sz w:val="18"/>
      <w:szCs w:val="18"/>
    </w:rPr>
  </w:style>
  <w:style w:type="paragraph" w:styleId="a7">
    <w:name w:val="List Paragraph"/>
    <w:basedOn w:val="a"/>
    <w:uiPriority w:val="34"/>
    <w:qFormat/>
    <w:rsid w:val="000E65B3"/>
    <w:pPr>
      <w:ind w:firstLineChars="200" w:firstLine="420"/>
    </w:pPr>
  </w:style>
  <w:style w:type="paragraph" w:customStyle="1" w:styleId="CharCharCharCharCharChar2CharCharCharChar">
    <w:name w:val="Char Char Char Char Char Char2 Char Char Char Char"/>
    <w:basedOn w:val="a"/>
    <w:rsid w:val="00EA0440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99"/>
    <w:rsid w:val="00AF4B73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CharCharChar2CharCharCharChar0">
    <w:name w:val="Char Char Char Char Char Char2 Char Char Char Char"/>
    <w:basedOn w:val="a"/>
    <w:rsid w:val="0083332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yjdl</dc:creator>
  <cp:keywords/>
  <dc:description/>
  <cp:lastModifiedBy>yjtx</cp:lastModifiedBy>
  <cp:revision>422</cp:revision>
  <dcterms:created xsi:type="dcterms:W3CDTF">2014-06-10T04:46:00Z</dcterms:created>
  <dcterms:modified xsi:type="dcterms:W3CDTF">2018-03-08T07:59:00Z</dcterms:modified>
</cp:coreProperties>
</file>