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keepNext/>
        <w:keepLines/>
        <w:pageBreakBefore w:val="0"/>
        <w:widowControl w:val="0"/>
        <w:kinsoku/>
        <w:wordWrap/>
        <w:autoSpaceDE/>
        <w:autoSpaceDN/>
        <w:snapToGrid/>
        <w:spacing w:before="0" w:beforeLines="0" w:beforeAutospacing="0" w:after="0" w:afterLines="0" w:afterAutospacing="0" w:line="360" w:lineRule="auto"/>
        <w:ind w:left="0" w:leftChars="0" w:right="0" w:firstLine="200" w:firstLineChars="200"/>
        <w:jc w:val="both"/>
        <w:textAlignment w:val="baseline"/>
        <w:outlineLvl w:val="0"/>
        <w:rPr>
          <w:sz w:val="32"/>
          <w:highlight w:val="none"/>
          <w:lang w:val="en-US" w:eastAsia="zh-CN"/>
        </w:rPr>
      </w:pPr>
      <w:r>
        <w:rPr>
          <w:rFonts w:hint="eastAsia"/>
          <w:sz w:val="32"/>
          <w:highlight w:val="none"/>
          <w:lang w:val="en-US" w:eastAsia="zh-CN"/>
        </w:rPr>
        <w:t>国家发展改革委关于电动汽车用电价格政策有关问题的通知</w:t>
      </w:r>
      <w:r>
        <w:rPr>
          <w:rFonts w:hint="default" w:ascii="方正仿宋_GBK"/>
          <w:snapToGrid/>
          <w:sz w:val="32"/>
          <w:highlight w:val="none"/>
        </w:rPr>
        <w:t>（发改价格〔2014〕1668号）</w:t>
      </w:r>
    </w:p>
    <w:p>
      <w:pPr>
        <w:spacing w:before="100" w:beforeLines="0" w:beforeAutospacing="1" w:after="100" w:afterLines="0" w:afterAutospacing="1" w:line="576" w:lineRule="atLeast"/>
        <w:jc w:val="left"/>
        <w:rPr>
          <w:rFonts w:ascii="宋体"/>
          <w:color w:val="auto"/>
          <w:kern w:val="0"/>
          <w:sz w:val="24"/>
          <w:highlight w:val="none"/>
        </w:rPr>
      </w:pPr>
      <w:r>
        <w:rPr>
          <w:rFonts w:hint="eastAsia" w:ascii="宋体" w:hAnsi="宋体"/>
          <w:color w:val="auto"/>
          <w:sz w:val="24"/>
          <w:highlight w:val="none"/>
        </w:rPr>
        <w:t>各省、自治区、直辖市发展改革委、物价局，国家电网公司、南方电网公司</w:t>
      </w:r>
      <w:r>
        <w:rPr>
          <w:rFonts w:hint="eastAsia" w:ascii="宋体" w:hAnsi="宋体"/>
          <w:color w:val="auto"/>
          <w:kern w:val="0"/>
          <w:sz w:val="24"/>
          <w:highlight w:val="none"/>
        </w:rPr>
        <w:t>：</w:t>
      </w:r>
    </w:p>
    <w:p>
      <w:pPr>
        <w:spacing w:line="576" w:lineRule="atLeast"/>
        <w:ind w:firstLine="420" w:firstLineChars="200"/>
        <w:jc w:val="left"/>
        <w:rPr>
          <w:rFonts w:ascii="宋体"/>
          <w:color w:val="auto"/>
          <w:kern w:val="0"/>
          <w:sz w:val="24"/>
          <w:highlight w:val="none"/>
        </w:rPr>
      </w:pPr>
      <w:r>
        <w:rPr>
          <w:rFonts w:hint="eastAsia" w:ascii="宋体" w:hAnsi="宋体"/>
          <w:color w:val="auto"/>
          <w:sz w:val="24"/>
          <w:highlight w:val="none"/>
        </w:rPr>
        <w:t>为贯彻落实国务院办公厅《关于加快新能源汽车推广应用的指导意见》（国办发【</w:t>
      </w:r>
      <w:r>
        <w:rPr>
          <w:rFonts w:ascii="宋体" w:hAnsi="宋体"/>
          <w:color w:val="auto"/>
          <w:sz w:val="24"/>
          <w:highlight w:val="none"/>
        </w:rPr>
        <w:t>2014</w:t>
      </w:r>
      <w:r>
        <w:rPr>
          <w:rFonts w:hint="eastAsia" w:ascii="宋体" w:hAnsi="宋体"/>
          <w:color w:val="auto"/>
          <w:sz w:val="24"/>
          <w:highlight w:val="none"/>
        </w:rPr>
        <w:t>】</w:t>
      </w:r>
      <w:r>
        <w:rPr>
          <w:rFonts w:ascii="宋体" w:hAnsi="宋体"/>
          <w:color w:val="auto"/>
          <w:sz w:val="24"/>
          <w:highlight w:val="none"/>
        </w:rPr>
        <w:t>35</w:t>
      </w:r>
      <w:r>
        <w:rPr>
          <w:rFonts w:hint="eastAsia" w:ascii="宋体" w:hAnsi="宋体"/>
          <w:color w:val="auto"/>
          <w:sz w:val="24"/>
          <w:highlight w:val="none"/>
        </w:rPr>
        <w:t>号）精神，利用价格杠杆促进电动汽车推广应用，现将有关事项通知如下：</w:t>
      </w:r>
    </w:p>
    <w:p>
      <w:pPr>
        <w:keepNext w:val="0"/>
        <w:keepLines w:val="0"/>
        <w:pageBreakBefore w:val="0"/>
        <w:widowControl w:val="0"/>
        <w:kinsoku/>
        <w:wordWrap/>
        <w:autoSpaceDE/>
        <w:autoSpaceDN/>
        <w:snapToGrid/>
        <w:spacing w:before="156" w:beforeLines="50" w:beforeAutospacing="0" w:after="156" w:afterLines="50" w:afterAutospacing="0" w:line="240" w:lineRule="auto"/>
        <w:ind w:left="0" w:leftChars="0" w:right="0" w:firstLine="420" w:firstLineChars="200"/>
        <w:jc w:val="both"/>
        <w:textAlignment w:val="baseline"/>
        <w:outlineLvl w:val="9"/>
        <w:rPr>
          <w:rFonts w:hint="eastAsia"/>
          <w:sz w:val="28"/>
          <w:highlight w:val="none"/>
        </w:rPr>
      </w:pPr>
      <w:bookmarkStart w:id="0" w:name="_Toc29799"/>
      <w:bookmarkStart w:id="1" w:name="_Toc3900"/>
      <w:bookmarkStart w:id="2" w:name="_Toc516732981"/>
      <w:bookmarkStart w:id="3" w:name="_Toc5243"/>
      <w:bookmarkStart w:id="4" w:name="_Toc13354"/>
      <w:bookmarkStart w:id="5" w:name="_Toc20875"/>
      <w:bookmarkStart w:id="6" w:name="_Toc21041"/>
      <w:r>
        <w:rPr>
          <w:rFonts w:hint="eastAsia"/>
          <w:sz w:val="28"/>
          <w:highlight w:val="none"/>
        </w:rPr>
        <w:t>一、对电动汽车充换电设施用电实行扶持性电价政策</w:t>
      </w:r>
      <w:bookmarkEnd w:id="0"/>
      <w:bookmarkEnd w:id="1"/>
      <w:bookmarkEnd w:id="2"/>
      <w:bookmarkEnd w:id="3"/>
      <w:bookmarkEnd w:id="4"/>
      <w:bookmarkEnd w:id="5"/>
      <w:bookmarkEnd w:id="6"/>
    </w:p>
    <w:p>
      <w:pPr>
        <w:spacing w:line="576" w:lineRule="atLeast"/>
        <w:ind w:firstLine="420" w:firstLineChars="200"/>
        <w:jc w:val="left"/>
        <w:rPr>
          <w:rFonts w:ascii="宋体"/>
          <w:color w:val="auto"/>
          <w:kern w:val="0"/>
          <w:sz w:val="24"/>
          <w:highlight w:val="none"/>
        </w:rPr>
      </w:pPr>
      <w:r>
        <w:rPr>
          <w:rFonts w:hint="eastAsia" w:ascii="宋体" w:hAnsi="宋体"/>
          <w:color w:val="auto"/>
          <w:sz w:val="24"/>
          <w:highlight w:val="none"/>
        </w:rPr>
        <w:t>（一）对向电网经营企业直接报装接电的经</w:t>
      </w:r>
      <w:bookmarkStart w:id="23" w:name="_GoBack"/>
      <w:bookmarkEnd w:id="23"/>
      <w:r>
        <w:rPr>
          <w:rFonts w:hint="eastAsia" w:ascii="宋体" w:hAnsi="宋体"/>
          <w:color w:val="auto"/>
          <w:sz w:val="24"/>
          <w:highlight w:val="none"/>
        </w:rPr>
        <w:t>营性集中式充换电设施用电，执行</w:t>
      </w:r>
      <w:r>
        <w:rPr>
          <w:rFonts w:hint="eastAsia" w:ascii="宋体" w:hAnsi="宋体"/>
          <w:color w:val="auto"/>
          <w:sz w:val="24"/>
          <w:highlight w:val="none"/>
        </w:rPr>
        <w:t>大工业</w:t>
      </w:r>
      <w:r>
        <w:rPr>
          <w:rFonts w:hint="eastAsia" w:ascii="宋体" w:hAnsi="宋体"/>
          <w:color w:val="auto"/>
          <w:sz w:val="24"/>
          <w:highlight w:val="none"/>
        </w:rPr>
        <w:t>用电价格。</w:t>
      </w:r>
      <w:r>
        <w:rPr>
          <w:rFonts w:ascii="宋体" w:hAnsi="宋体"/>
          <w:color w:val="auto"/>
          <w:sz w:val="24"/>
          <w:highlight w:val="none"/>
        </w:rPr>
        <w:t>2020</w:t>
      </w:r>
      <w:r>
        <w:rPr>
          <w:rFonts w:hint="eastAsia" w:ascii="宋体" w:hAnsi="宋体"/>
          <w:color w:val="auto"/>
          <w:sz w:val="24"/>
          <w:highlight w:val="none"/>
        </w:rPr>
        <w:t>年前，暂免收基本电费。</w:t>
      </w:r>
    </w:p>
    <w:p>
      <w:pPr>
        <w:spacing w:before="100" w:beforeLines="0" w:beforeAutospacing="1" w:after="100" w:afterLines="0" w:afterAutospacing="1" w:line="354" w:lineRule="atLeast"/>
        <w:ind w:firstLine="420" w:firstLineChars="200"/>
        <w:jc w:val="left"/>
        <w:rPr>
          <w:rFonts w:hint="eastAsia" w:ascii="宋体" w:hAnsi="宋体"/>
          <w:color w:val="auto"/>
          <w:kern w:val="0"/>
          <w:sz w:val="24"/>
          <w:highlight w:val="none"/>
        </w:rPr>
      </w:pPr>
      <w:r>
        <w:rPr>
          <w:rFonts w:hint="eastAsia" w:ascii="宋体" w:hAnsi="宋体"/>
          <w:color w:val="auto"/>
          <w:kern w:val="0"/>
          <w:sz w:val="24"/>
          <w:highlight w:val="none"/>
        </w:rPr>
        <w:t>（二）其他充电设施按其所在场所执行分类目录电价。其中，居民家庭住宅、居民住宅小区、执行居民电价的非居民用户中设置的充电设施用电，执行居民用电价格中的</w:t>
      </w:r>
      <w:r>
        <w:rPr>
          <w:rFonts w:hint="eastAsia" w:ascii="宋体" w:hAnsi="宋体"/>
          <w:color w:val="auto"/>
          <w:kern w:val="0"/>
          <w:sz w:val="24"/>
          <w:highlight w:val="none"/>
        </w:rPr>
        <w:t>合表</w:t>
      </w:r>
      <w:r>
        <w:rPr>
          <w:rFonts w:hint="eastAsia" w:ascii="宋体" w:hAnsi="宋体"/>
          <w:color w:val="auto"/>
          <w:kern w:val="0"/>
          <w:sz w:val="24"/>
          <w:highlight w:val="none"/>
        </w:rPr>
        <w:t>用户电价；党政机关、企事业单位和社会公共停车场中设置的充电设施用电执行“</w:t>
      </w:r>
      <w:r>
        <w:rPr>
          <w:rFonts w:hint="eastAsia" w:ascii="宋体" w:hAnsi="宋体"/>
          <w:color w:val="auto"/>
          <w:kern w:val="0"/>
          <w:sz w:val="24"/>
          <w:highlight w:val="none"/>
        </w:rPr>
        <w:t>一般工商业及其他</w:t>
      </w:r>
      <w:r>
        <w:rPr>
          <w:rFonts w:hint="eastAsia" w:ascii="宋体" w:hAnsi="宋体"/>
          <w:color w:val="auto"/>
          <w:kern w:val="0"/>
          <w:sz w:val="24"/>
          <w:highlight w:val="none"/>
        </w:rPr>
        <w:t>”类用电价格。</w:t>
      </w:r>
    </w:p>
    <w:p>
      <w:pPr>
        <w:spacing w:before="100" w:beforeLines="0" w:beforeAutospacing="1" w:after="100" w:afterLines="0" w:afterAutospacing="1" w:line="354" w:lineRule="atLeast"/>
        <w:ind w:firstLine="420" w:firstLineChars="200"/>
        <w:jc w:val="left"/>
        <w:rPr>
          <w:rFonts w:ascii="宋体"/>
          <w:color w:val="auto"/>
          <w:kern w:val="0"/>
          <w:sz w:val="24"/>
          <w:highlight w:val="none"/>
        </w:rPr>
      </w:pPr>
      <w:r>
        <w:rPr>
          <w:rFonts w:hint="eastAsia" w:ascii="宋体" w:hAnsi="宋体"/>
          <w:color w:val="auto"/>
          <w:sz w:val="24"/>
          <w:highlight w:val="none"/>
        </w:rPr>
        <w:t>（三）电动汽车充换电设施用电执行</w:t>
      </w:r>
      <w:r>
        <w:rPr>
          <w:rFonts w:hint="eastAsia" w:ascii="宋体" w:hAnsi="宋体"/>
          <w:color w:val="auto"/>
          <w:sz w:val="24"/>
          <w:highlight w:val="none"/>
        </w:rPr>
        <w:t>峰谷分时电价</w:t>
      </w:r>
      <w:r>
        <w:rPr>
          <w:rFonts w:hint="eastAsia" w:ascii="宋体" w:hAnsi="宋体"/>
          <w:color w:val="auto"/>
          <w:sz w:val="24"/>
          <w:highlight w:val="none"/>
        </w:rPr>
        <w:t>政策。鼓励电动汽车在电力系统用电低谷时段充电，提高电力系统利用效率，降低充电成本。</w:t>
      </w:r>
    </w:p>
    <w:p>
      <w:pPr>
        <w:keepNext w:val="0"/>
        <w:keepLines w:val="0"/>
        <w:pageBreakBefore w:val="0"/>
        <w:widowControl w:val="0"/>
        <w:kinsoku/>
        <w:wordWrap/>
        <w:autoSpaceDE/>
        <w:autoSpaceDN/>
        <w:snapToGrid/>
        <w:spacing w:before="156" w:beforeLines="50" w:beforeAutospacing="0" w:after="156" w:afterLines="50" w:afterAutospacing="0" w:line="240" w:lineRule="auto"/>
        <w:ind w:left="0" w:leftChars="0" w:right="0" w:firstLine="420" w:firstLineChars="200"/>
        <w:jc w:val="both"/>
        <w:textAlignment w:val="baseline"/>
        <w:outlineLvl w:val="9"/>
        <w:rPr>
          <w:rFonts w:hint="eastAsia"/>
          <w:sz w:val="28"/>
          <w:highlight w:val="none"/>
        </w:rPr>
      </w:pPr>
      <w:bookmarkStart w:id="7" w:name="_Toc4674"/>
      <w:bookmarkStart w:id="8" w:name="_Toc19877"/>
      <w:bookmarkStart w:id="9" w:name="_Toc30901"/>
      <w:bookmarkStart w:id="10" w:name="_Toc25523"/>
      <w:bookmarkStart w:id="11" w:name="_Toc30209"/>
      <w:bookmarkStart w:id="12" w:name="_Toc518324236"/>
      <w:bookmarkStart w:id="13" w:name="_Toc516732982"/>
      <w:bookmarkStart w:id="14" w:name="_Toc3861"/>
      <w:r>
        <w:rPr>
          <w:rFonts w:hint="eastAsia"/>
          <w:sz w:val="28"/>
          <w:highlight w:val="none"/>
        </w:rPr>
        <w:t>二、对电动汽车充换电服务费实行政府指导价管理</w:t>
      </w:r>
      <w:bookmarkEnd w:id="7"/>
      <w:bookmarkEnd w:id="8"/>
      <w:bookmarkEnd w:id="9"/>
      <w:bookmarkEnd w:id="10"/>
      <w:bookmarkEnd w:id="11"/>
      <w:bookmarkEnd w:id="12"/>
      <w:bookmarkEnd w:id="13"/>
      <w:bookmarkEnd w:id="14"/>
    </w:p>
    <w:p>
      <w:pPr>
        <w:spacing w:line="576" w:lineRule="atLeast"/>
        <w:ind w:firstLine="420" w:firstLineChars="200"/>
        <w:jc w:val="left"/>
        <w:rPr>
          <w:rFonts w:ascii="宋体"/>
          <w:color w:val="auto"/>
          <w:kern w:val="0"/>
          <w:sz w:val="24"/>
          <w:highlight w:val="none"/>
        </w:rPr>
      </w:pPr>
      <w:r>
        <w:rPr>
          <w:rFonts w:hint="eastAsia" w:ascii="宋体" w:hAnsi="宋体"/>
          <w:color w:val="auto"/>
          <w:sz w:val="24"/>
          <w:highlight w:val="none"/>
        </w:rPr>
        <w:t>（一）</w:t>
      </w:r>
      <w:r>
        <w:rPr>
          <w:rFonts w:hint="eastAsia" w:ascii="宋体" w:hAnsi="宋体"/>
          <w:color w:val="auto"/>
          <w:kern w:val="0"/>
          <w:sz w:val="24"/>
          <w:highlight w:val="none"/>
        </w:rPr>
        <w:t>充换电设施经营企业可向电动汽车用户收取电费及</w:t>
      </w:r>
      <w:r>
        <w:rPr>
          <w:rFonts w:hint="eastAsia" w:ascii="宋体" w:hAnsi="宋体"/>
          <w:color w:val="auto"/>
          <w:kern w:val="0"/>
          <w:sz w:val="24"/>
          <w:highlight w:val="none"/>
        </w:rPr>
        <w:t>充换电服务费</w:t>
      </w:r>
      <w:r>
        <w:rPr>
          <w:rFonts w:hint="eastAsia" w:ascii="宋体" w:hAnsi="宋体"/>
          <w:color w:val="auto"/>
          <w:kern w:val="0"/>
          <w:sz w:val="24"/>
          <w:highlight w:val="none"/>
        </w:rPr>
        <w:t>两项费用。其中，电费执行国家规定的电价政策，充换电服务费用于弥补充换电设施运营成本。</w:t>
      </w:r>
    </w:p>
    <w:p>
      <w:pPr>
        <w:spacing w:before="100" w:beforeLines="0" w:beforeAutospacing="1" w:after="100" w:afterLines="0" w:afterAutospacing="1" w:line="354" w:lineRule="atLeast"/>
        <w:ind w:firstLine="420" w:firstLineChars="200"/>
        <w:jc w:val="left"/>
        <w:rPr>
          <w:rFonts w:hint="eastAsia" w:ascii="宋体" w:hAnsi="宋体"/>
          <w:color w:val="auto"/>
          <w:kern w:val="0"/>
          <w:sz w:val="24"/>
          <w:highlight w:val="none"/>
        </w:rPr>
      </w:pPr>
      <w:r>
        <w:rPr>
          <w:rFonts w:hint="eastAsia" w:ascii="宋体" w:hAnsi="宋体"/>
          <w:color w:val="auto"/>
          <w:kern w:val="0"/>
          <w:sz w:val="24"/>
          <w:highlight w:val="none"/>
        </w:rPr>
        <w:t>（二）</w:t>
      </w:r>
      <w:r>
        <w:rPr>
          <w:rFonts w:ascii="宋体" w:hAnsi="宋体"/>
          <w:color w:val="auto"/>
          <w:kern w:val="0"/>
          <w:sz w:val="24"/>
          <w:highlight w:val="none"/>
        </w:rPr>
        <w:t>2020</w:t>
      </w:r>
      <w:r>
        <w:rPr>
          <w:rFonts w:hint="eastAsia" w:ascii="宋体" w:hAnsi="宋体"/>
          <w:color w:val="auto"/>
          <w:kern w:val="0"/>
          <w:sz w:val="24"/>
          <w:highlight w:val="none"/>
        </w:rPr>
        <w:t>年前，对电动汽车充换电服务费实行</w:t>
      </w:r>
      <w:r>
        <w:rPr>
          <w:rFonts w:hint="eastAsia" w:ascii="宋体" w:hAnsi="宋体"/>
          <w:color w:val="auto"/>
          <w:kern w:val="0"/>
          <w:sz w:val="24"/>
          <w:highlight w:val="none"/>
        </w:rPr>
        <w:t>政府指导价</w:t>
      </w:r>
      <w:r>
        <w:rPr>
          <w:rFonts w:hint="eastAsia" w:ascii="宋体" w:hAnsi="宋体"/>
          <w:color w:val="auto"/>
          <w:kern w:val="0"/>
          <w:sz w:val="24"/>
          <w:highlight w:val="none"/>
        </w:rPr>
        <w:t>管理。充换电服务费标准上限由省级人民政府价格主管部门或其授权的单位制定并调整。</w:t>
      </w:r>
    </w:p>
    <w:p>
      <w:pPr>
        <w:spacing w:before="100" w:beforeLines="0" w:beforeAutospacing="1" w:after="100" w:afterLines="0" w:afterAutospacing="1" w:line="354" w:lineRule="atLeast"/>
        <w:ind w:firstLine="420" w:firstLineChars="200"/>
        <w:jc w:val="left"/>
        <w:rPr>
          <w:rFonts w:hint="eastAsia" w:ascii="宋体" w:hAnsi="宋体"/>
          <w:color w:val="auto"/>
          <w:kern w:val="0"/>
          <w:sz w:val="24"/>
          <w:highlight w:val="none"/>
        </w:rPr>
      </w:pPr>
      <w:r>
        <w:rPr>
          <w:rFonts w:hint="eastAsia" w:ascii="宋体" w:hAnsi="宋体"/>
          <w:color w:val="auto"/>
          <w:kern w:val="0"/>
          <w:sz w:val="24"/>
          <w:highlight w:val="none"/>
        </w:rPr>
        <w:t>制定充换电服务费标准应遵循“</w:t>
      </w:r>
      <w:r>
        <w:rPr>
          <w:rFonts w:hint="eastAsia" w:ascii="宋体" w:hAnsi="宋体"/>
          <w:color w:val="auto"/>
          <w:kern w:val="0"/>
          <w:sz w:val="24"/>
          <w:highlight w:val="none"/>
        </w:rPr>
        <w:t>有倾斜、有优惠</w:t>
      </w:r>
      <w:r>
        <w:rPr>
          <w:rFonts w:hint="eastAsia" w:ascii="宋体" w:hAnsi="宋体"/>
          <w:color w:val="auto"/>
          <w:kern w:val="0"/>
          <w:sz w:val="24"/>
          <w:highlight w:val="none"/>
        </w:rPr>
        <w:t>”的原则，在国家及地方政府通过财政补贴、无偿划拨充换电设施建设场所等方式降低充换电设施建设运营成本的基础上，确保电动汽车使用成本显著低于燃油（或低于燃气）汽车使用成本，增强电动汽车在终端市场的竞争力。</w:t>
      </w:r>
    </w:p>
    <w:p>
      <w:pPr>
        <w:numPr>
          <w:ilvl w:val="0"/>
          <w:numId w:val="1"/>
        </w:numPr>
        <w:spacing w:before="100" w:beforeLines="0" w:beforeAutospacing="1" w:after="100" w:afterLines="0" w:afterAutospacing="1" w:line="354" w:lineRule="atLeast"/>
        <w:ind w:firstLine="420" w:firstLineChars="200"/>
        <w:jc w:val="left"/>
        <w:rPr>
          <w:rFonts w:ascii="宋体"/>
          <w:color w:val="auto"/>
          <w:kern w:val="0"/>
          <w:sz w:val="24"/>
          <w:highlight w:val="none"/>
        </w:rPr>
      </w:pPr>
      <w:r>
        <w:rPr>
          <w:rFonts w:hint="eastAsia" w:ascii="宋体" w:hAnsi="宋体"/>
          <w:color w:val="auto"/>
          <w:kern w:val="0"/>
          <w:sz w:val="24"/>
          <w:highlight w:val="none"/>
        </w:rPr>
        <w:t>（四）</w:t>
      </w:r>
      <w:r>
        <w:rPr>
          <w:rFonts w:hint="eastAsia" w:ascii="宋体" w:hAnsi="宋体"/>
          <w:color w:val="auto"/>
          <w:sz w:val="24"/>
          <w:highlight w:val="none"/>
        </w:rPr>
        <w:t>当电动车发展达到一定规模并在交通运输市场具有一定竞争力后，结合充换电设施服务市场发展情况，逐步放开</w:t>
      </w:r>
      <w:r>
        <w:rPr>
          <w:rFonts w:hint="eastAsia" w:ascii="宋体" w:hAnsi="宋体"/>
          <w:color w:val="auto"/>
          <w:sz w:val="24"/>
          <w:highlight w:val="none"/>
        </w:rPr>
        <w:t>充换电服务费</w:t>
      </w:r>
      <w:r>
        <w:rPr>
          <w:rFonts w:hint="eastAsia" w:ascii="宋体" w:hAnsi="宋体"/>
          <w:color w:val="auto"/>
          <w:sz w:val="24"/>
          <w:highlight w:val="none"/>
        </w:rPr>
        <w:t>，通过市场竞争形成。</w:t>
      </w:r>
    </w:p>
    <w:p>
      <w:pPr>
        <w:keepNext w:val="0"/>
        <w:keepLines w:val="0"/>
        <w:pageBreakBefore w:val="0"/>
        <w:widowControl w:val="0"/>
        <w:kinsoku/>
        <w:wordWrap/>
        <w:autoSpaceDE/>
        <w:autoSpaceDN/>
        <w:snapToGrid/>
        <w:spacing w:before="156" w:beforeLines="50" w:beforeAutospacing="0" w:after="156" w:afterLines="50" w:afterAutospacing="0" w:line="240" w:lineRule="auto"/>
        <w:ind w:left="0" w:leftChars="0" w:right="0" w:firstLine="420" w:firstLineChars="200"/>
        <w:jc w:val="both"/>
        <w:textAlignment w:val="baseline"/>
        <w:outlineLvl w:val="9"/>
        <w:rPr>
          <w:rFonts w:hint="eastAsia"/>
          <w:sz w:val="28"/>
          <w:highlight w:val="none"/>
        </w:rPr>
      </w:pPr>
      <w:bookmarkStart w:id="15" w:name="_Toc7609"/>
      <w:bookmarkStart w:id="16" w:name="_Toc516732983"/>
      <w:bookmarkStart w:id="17" w:name="_Toc27526"/>
      <w:bookmarkStart w:id="18" w:name="_Toc25465"/>
      <w:bookmarkStart w:id="19" w:name="_Toc14360"/>
      <w:bookmarkStart w:id="20" w:name="_Toc31848"/>
      <w:bookmarkStart w:id="21" w:name="_Toc518324237"/>
      <w:bookmarkStart w:id="22" w:name="_Toc16111"/>
      <w:r>
        <w:rPr>
          <w:rFonts w:hint="eastAsia"/>
          <w:sz w:val="28"/>
          <w:highlight w:val="none"/>
        </w:rPr>
        <w:t>三、将电动汽车充换电设施配套电网改造成本纳入电网企业输配电价</w:t>
      </w:r>
      <w:bookmarkEnd w:id="15"/>
      <w:bookmarkEnd w:id="16"/>
      <w:bookmarkEnd w:id="17"/>
      <w:bookmarkEnd w:id="18"/>
      <w:bookmarkEnd w:id="19"/>
      <w:bookmarkEnd w:id="20"/>
      <w:bookmarkEnd w:id="21"/>
      <w:bookmarkEnd w:id="22"/>
    </w:p>
    <w:p>
      <w:pPr>
        <w:spacing w:line="576" w:lineRule="atLeast"/>
        <w:ind w:firstLine="420" w:firstLineChars="200"/>
        <w:jc w:val="left"/>
        <w:rPr>
          <w:rFonts w:hint="eastAsia" w:ascii="宋体" w:hAnsi="宋体"/>
          <w:color w:val="auto"/>
          <w:sz w:val="24"/>
          <w:highlight w:val="none"/>
        </w:rPr>
      </w:pPr>
      <w:r>
        <w:rPr>
          <w:rFonts w:hint="eastAsia" w:ascii="宋体" w:hAnsi="宋体"/>
          <w:color w:val="auto"/>
          <w:sz w:val="24"/>
          <w:highlight w:val="none"/>
        </w:rPr>
        <w:t>电网企业要做好电动汽车充换电配套电网建设改造工作，电动汽车充换电设施产权分界点至电网的配套接网工程，由</w:t>
      </w:r>
      <w:r>
        <w:rPr>
          <w:rFonts w:hint="eastAsia" w:ascii="宋体" w:hAnsi="宋体"/>
          <w:color w:val="auto"/>
          <w:sz w:val="24"/>
          <w:highlight w:val="none"/>
        </w:rPr>
        <w:t>电网企业</w:t>
      </w:r>
      <w:r>
        <w:rPr>
          <w:rFonts w:hint="eastAsia" w:ascii="宋体" w:hAnsi="宋体"/>
          <w:color w:val="auto"/>
          <w:sz w:val="24"/>
          <w:highlight w:val="none"/>
        </w:rPr>
        <w:t>负责建设和运行维护，不得收取接网费用，相应成本纳入</w:t>
      </w:r>
      <w:r>
        <w:rPr>
          <w:rFonts w:hint="eastAsia" w:ascii="宋体" w:hAnsi="宋体"/>
          <w:color w:val="auto"/>
          <w:sz w:val="24"/>
          <w:highlight w:val="none"/>
        </w:rPr>
        <w:t>电网输配电成本</w:t>
      </w:r>
      <w:r>
        <w:rPr>
          <w:rFonts w:hint="eastAsia" w:ascii="宋体" w:hAnsi="宋体"/>
          <w:color w:val="auto"/>
          <w:sz w:val="24"/>
          <w:highlight w:val="none"/>
        </w:rPr>
        <w:t>统一核算。</w:t>
      </w:r>
    </w:p>
    <w:p>
      <w:pPr>
        <w:spacing w:line="576" w:lineRule="atLeast"/>
        <w:ind w:firstLine="420" w:firstLineChars="200"/>
        <w:jc w:val="left"/>
        <w:rPr>
          <w:rFonts w:hint="eastAsia" w:ascii="宋体" w:hAnsi="宋体"/>
          <w:color w:val="auto"/>
          <w:sz w:val="24"/>
          <w:highlight w:val="none"/>
        </w:rPr>
      </w:pPr>
    </w:p>
    <w:p>
      <w:pPr>
        <w:ind w:firstLine="420" w:firstLineChars="200"/>
        <w:rPr>
          <w:rFonts w:ascii="宋体"/>
          <w:color w:val="auto"/>
          <w:kern w:val="0"/>
          <w:sz w:val="24"/>
          <w:highlight w:val="none"/>
        </w:rPr>
      </w:pPr>
      <w:r>
        <w:rPr>
          <w:rFonts w:hint="eastAsia" w:ascii="宋体" w:hAnsi="宋体"/>
          <w:color w:val="auto"/>
          <w:kern w:val="0"/>
          <w:sz w:val="24"/>
          <w:highlight w:val="none"/>
        </w:rPr>
        <w:t>国家发展改革委</w:t>
      </w:r>
    </w:p>
    <w:p>
      <w:pPr>
        <w:ind w:firstLine="420" w:firstLineChars="200"/>
        <w:jc w:val="center"/>
        <w:rPr>
          <w:rFonts w:ascii="宋体"/>
          <w:sz w:val="28"/>
          <w:highlight w:val="none"/>
        </w:rPr>
      </w:pPr>
      <w:r>
        <w:rPr>
          <w:rFonts w:ascii="宋体" w:hAnsi="宋体"/>
          <w:color w:val="auto"/>
          <w:sz w:val="24"/>
          <w:highlight w:val="none"/>
        </w:rPr>
        <w:t xml:space="preserve">  2014</w:t>
      </w:r>
      <w:r>
        <w:rPr>
          <w:rFonts w:hint="eastAsia" w:ascii="宋体" w:hAnsi="宋体"/>
          <w:color w:val="auto"/>
          <w:sz w:val="24"/>
          <w:highlight w:val="none"/>
        </w:rPr>
        <w:t>年</w:t>
      </w:r>
      <w:r>
        <w:rPr>
          <w:rFonts w:ascii="宋体" w:hAnsi="宋体"/>
          <w:color w:val="auto"/>
          <w:sz w:val="24"/>
          <w:highlight w:val="none"/>
        </w:rPr>
        <w:t>7</w:t>
      </w:r>
      <w:r>
        <w:rPr>
          <w:rFonts w:hint="eastAsia" w:ascii="宋体" w:hAnsi="宋体"/>
          <w:color w:val="auto"/>
          <w:sz w:val="24"/>
          <w:highlight w:val="none"/>
        </w:rPr>
        <w:t>月</w:t>
      </w:r>
      <w:r>
        <w:rPr>
          <w:rFonts w:ascii="宋体" w:hAnsi="宋体"/>
          <w:color w:val="auto"/>
          <w:sz w:val="24"/>
          <w:highlight w:val="none"/>
        </w:rPr>
        <w:t xml:space="preserve">22 </w:t>
      </w:r>
      <w:r>
        <w:rPr>
          <w:rFonts w:hint="eastAsia" w:ascii="宋体" w:hAnsi="宋体"/>
          <w:color w:val="auto"/>
          <w:sz w:val="24"/>
          <w:highlight w:val="none"/>
        </w:rPr>
        <w:t>日</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altName w:val="仿宋"/>
    <w:panose1 w:val="02010609030001010101"/>
    <w:charset w:val="86"/>
    <w:family w:val="auto"/>
    <w:pitch w:val="default"/>
    <w:sig w:usb0="00000000" w:usb1="00000000" w:usb2="00000000" w:usb3="00000000" w:csb0="00040000" w:csb1="00000000"/>
  </w:font>
  <w:font w:name="Arial Unicode MS">
    <w:panose1 w:val="020B0604020202020204"/>
    <w:charset w:val="7A"/>
    <w:family w:val="auto"/>
    <w:pitch w:val="default"/>
    <w:sig w:usb0="FFFFFFFF" w:usb1="E9FFFFFF" w:usb2="0000003F" w:usb3="00000000" w:csb0="603F01FF" w:csb1="FFFF0000"/>
  </w:font>
  <w:font w:name="方正仿宋_GBK">
    <w:altName w:val="宋体"/>
    <w:panose1 w:val="00000000000000000000"/>
    <w:charset w:val="01"/>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auto"/>
    <w:pitch w:val="default"/>
    <w:sig w:usb0="A00002EF" w:usb1="420020EB" w:usb2="00000000" w:usb3="00000000" w:csb0="2000019F" w:csb1="00000000"/>
  </w:font>
  <w:font w:name="MS Gothic">
    <w:panose1 w:val="020B0609070205080204"/>
    <w:charset w:val="80"/>
    <w:family w:val="auto"/>
    <w:pitch w:val="default"/>
    <w:sig w:usb0="E00002FF" w:usb1="6AC7FDFB" w:usb2="00000012" w:usb3="00000000" w:csb0="4002009F" w:csb1="DFD70000"/>
  </w:font>
  <w:font w:name="微软雅黑">
    <w:panose1 w:val="020B0503020204020204"/>
    <w:charset w:val="7A"/>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
    <w:nsid w:val="0000000F"/>
    <w:multiLevelType w:val="singleLevel"/>
    <w:tmpl w:val="0000000F"/>
    <w:lvl w:ilvl="0" w:tentative="1">
      <w:start w:val="3"/>
      <w:numFmt w:val="chineseCounting"/>
      <w:suff w:val="nothing"/>
      <w:lvlText w:val="（%1）"/>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C0C78"/>
    <w:rsid w:val="632C0C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eastAsia="宋体"/>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2019-07-25T01:03:00Z</dcterms:created>
  <dc:creator>yx</dc:creator>
  <cp:lastModifiedBy>yx</cp:lastModifiedBy>
  <dcterms:modified xsi:type="dcterms:W3CDTF">2019-07-25T01:04:35Z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