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7 -->
  <w:body>
    <w:tbl>
      <w:tblPr>
        <w:tblStyle w:val="TableNormal"/>
        <w:tblpPr w:leftFromText="180" w:rightFromText="180" w:vertAnchor="page" w:horzAnchor="page" w:tblpX="1697" w:tblpY="217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1929"/>
        <w:gridCol w:w="180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/>
        </w:trPr>
        <w:tc>
          <w:tcPr>
            <w:tcW w:w="6660" w:type="dxa"/>
            <w:noWrap w:val="0"/>
            <w:vAlign w:val="center"/>
          </w:tcPr>
          <w:p>
            <w:pPr>
              <w:spacing w:line="900" w:lineRule="exact"/>
              <w:ind w:firstLine="0"/>
              <w:jc w:val="distribute"/>
              <w:rPr>
                <w:b/>
                <w:bCs/>
                <w:sz w:val="72"/>
                <w:szCs w:val="72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  <w:lang w:eastAsia="zh-CN"/>
              </w:rPr>
              <w:t>财政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局</w:t>
            </w:r>
          </w:p>
          <w:p>
            <w:pPr>
              <w:spacing w:line="1000" w:lineRule="exact"/>
              <w:ind w:firstLine="0"/>
              <w:jc w:val="distribute"/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  <w:lang w:eastAsia="zh-CN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  <w:lang w:eastAsia="zh-CN"/>
              </w:rPr>
              <w:t>农业农村局</w:t>
            </w:r>
          </w:p>
          <w:p>
            <w:pPr>
              <w:pStyle w:val="EndnoteText"/>
              <w:jc w:val="distribute"/>
              <w:rPr>
                <w:rFonts w:hint="eastAsia"/>
                <w:lang w:eastAsia="zh-CN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永嘉县乡村振兴局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tabs>
                <w:tab w:val="left" w:pos="1050"/>
              </w:tabs>
              <w:spacing w:line="900" w:lineRule="exact"/>
              <w:ind w:firstLine="0"/>
              <w:rPr>
                <w:rFonts w:ascii="宋体" w:eastAsia="宋体" w:hAnsi="宋体"/>
                <w:b/>
                <w:bCs/>
                <w:sz w:val="84"/>
                <w:szCs w:val="84"/>
              </w:rPr>
            </w:pPr>
            <w:r>
              <w:rPr>
                <w:rFonts w:ascii="宋体" w:eastAsia="宋体" w:hAnsi="宋体" w:cs="方正小标宋简体" w:hint="eastAsia"/>
                <w:b/>
                <w:bCs/>
                <w:color w:val="FF0000"/>
                <w:w w:val="85"/>
                <w:sz w:val="84"/>
                <w:szCs w:val="84"/>
              </w:rPr>
              <w:t>文件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hRule="exact" w:val="1982"/>
        </w:trPr>
        <w:tc>
          <w:tcPr>
            <w:tcW w:w="8589" w:type="dxa"/>
            <w:gridSpan w:val="2"/>
            <w:tcBorders>
              <w:bottom w:val="single" w:sz="24" w:space="0" w:color="FF0000"/>
            </w:tcBorders>
            <w:noWrap w:val="0"/>
            <w:vAlign w:val="top"/>
          </w:tcPr>
          <w:p>
            <w:pPr>
              <w:overflowPunct w:val="0"/>
              <w:snapToGrid w:val="0"/>
              <w:ind w:left="0" w:firstLine="0" w:leftChars="0" w:firstLineChars="0"/>
              <w:jc w:val="center"/>
              <w:rPr>
                <w:rFonts w:ascii="仿宋_GB2312" w:hAnsi="仿宋_GB2312" w:cs="仿宋_GB2312" w:hint="eastAsia"/>
                <w:color w:val="FF0000"/>
                <w:w w:val="85"/>
                <w:szCs w:val="32"/>
              </w:rPr>
            </w:pPr>
          </w:p>
          <w:p>
            <w:pPr>
              <w:pStyle w:val="EndnoteText"/>
              <w:tabs>
                <w:tab w:val="left" w:pos="7980"/>
              </w:tabs>
              <w:rPr>
                <w:rFonts w:hint="eastAsia"/>
              </w:rPr>
            </w:pPr>
            <w:bookmarkStart w:id="0" w:name="_GoBack"/>
            <w:bookmarkEnd w:id="0"/>
          </w:p>
          <w:p>
            <w:pPr>
              <w:overflowPunct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overflowPunct w:val="0"/>
              <w:snapToGrid w:val="0"/>
              <w:ind w:firstLine="0"/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财农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〔202</w:t>
            </w:r>
            <w:r>
              <w:rPr>
                <w:rFonts w:ascii="仿宋_GB2312" w:hAnsi="仿宋_GB2312" w:cs="仿宋_GB2312"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53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</w:tr>
    </w:tbl>
    <w:p>
      <w:pPr>
        <w:spacing w:line="500" w:lineRule="exact"/>
        <w:jc w:val="center"/>
        <w:outlineLvl w:val="0"/>
        <w:rPr>
          <w:rFonts w:ascii="宋体" w:eastAsia="宋体" w:hAnsi="宋体" w:cs="宋体" w:hint="eastAsia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关于下达</w:t>
      </w:r>
      <w:r>
        <w:rPr>
          <w:rFonts w:ascii="宋体" w:eastAsia="宋体" w:hAnsi="宋体" w:cs="宋体" w:hint="eastAsia"/>
          <w:sz w:val="44"/>
          <w:szCs w:val="44"/>
          <w:lang w:eastAsia="zh-CN"/>
        </w:rPr>
        <w:t>2024年度第一批</w:t>
      </w:r>
      <w:r>
        <w:rPr>
          <w:rFonts w:ascii="宋体" w:eastAsia="宋体" w:hAnsi="宋体" w:cs="宋体" w:hint="eastAsia"/>
          <w:sz w:val="44"/>
          <w:szCs w:val="44"/>
        </w:rPr>
        <w:t>农村基础设施和</w:t>
      </w:r>
    </w:p>
    <w:p>
      <w:pPr>
        <w:spacing w:line="600" w:lineRule="exact"/>
        <w:jc w:val="center"/>
        <w:outlineLvl w:val="0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产业开发项目财政衔接补助资金的通知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/>
          <w:b/>
          <w:bCs/>
          <w:sz w:val="32"/>
          <w:szCs w:val="32"/>
        </w:rPr>
      </w:pPr>
    </w:p>
    <w:p>
      <w:pPr>
        <w:adjustRightIn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各有关乡镇（街道）人民政府（办事处）：</w:t>
      </w:r>
    </w:p>
    <w:p>
      <w:pPr>
        <w:spacing w:line="560" w:lineRule="exact"/>
        <w:ind w:firstLine="640" w:firstLineChars="2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切实改善我县农村生产、生活基础设施条件，提升农村人居环境，巩固拓展脱贫攻坚成果与乡村振兴有效结合。依据《永嘉县财政专项扶贫资金和项目管理实施细则》（永财农〔2019〕288号）规定，现将《关于下达2019年度第一批扶贫项目实施计划的通知》（永农〔2019〕66号）和《关于下达2021年度第二批财政衔接推进乡村振兴补助项目实施计划的通知》（永农〔2021〕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116</w:t>
      </w:r>
      <w:r>
        <w:rPr>
          <w:rFonts w:ascii="仿宋" w:eastAsia="仿宋" w:hAnsi="仿宋" w:cs="仿宋" w:hint="eastAsia"/>
          <w:sz w:val="32"/>
          <w:szCs w:val="32"/>
        </w:rPr>
        <w:t>号）中已竣工的项目，经组织验收、审价、公示无异议后，县农业农村局（县乡村振兴局）班子研究决定，对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岩坦镇林坑村等2个农村基础设施项目和茗岙乡新郑村股份经济合作社</w:t>
      </w:r>
      <w:r>
        <w:rPr>
          <w:rFonts w:ascii="仿宋" w:eastAsia="仿宋" w:hAnsi="仿宋" w:cs="仿宋" w:hint="eastAsia"/>
          <w:sz w:val="32"/>
          <w:szCs w:val="32"/>
        </w:rPr>
        <w:t>产业开发建设项目予以安排补助资金共计62.49万元。（具体见附件）</w:t>
      </w:r>
    </w:p>
    <w:p>
      <w:pPr>
        <w:spacing w:line="560" w:lineRule="exact"/>
        <w:ind w:firstLine="640" w:firstLineChars="2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请相关乡镇（街道）加强补助资金的监督使用。</w:t>
      </w:r>
    </w:p>
    <w:p>
      <w:pPr>
        <w:pStyle w:val="BodyTextFirstIndent"/>
        <w:spacing w:before="0" w:beforeAutospacing="0" w:line="560" w:lineRule="exact"/>
        <w:ind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>
      <w:pPr>
        <w:spacing w:line="560" w:lineRule="exact"/>
        <w:ind w:right="85" w:firstLine="640" w:firstLineChars="2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2024年度第一批</w:t>
      </w:r>
      <w:r>
        <w:rPr>
          <w:rFonts w:ascii="仿宋" w:eastAsia="仿宋" w:hAnsi="仿宋" w:cs="仿宋" w:hint="eastAsia"/>
          <w:sz w:val="32"/>
          <w:szCs w:val="32"/>
        </w:rPr>
        <w:t>农村基础设施项目财政衔接补助</w:t>
      </w:r>
    </w:p>
    <w:p>
      <w:pPr>
        <w:spacing w:line="560" w:lineRule="exact"/>
        <w:ind w:right="85" w:firstLine="640" w:firstLineChars="2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资金安排表</w:t>
      </w:r>
    </w:p>
    <w:p>
      <w:pPr>
        <w:spacing w:line="560" w:lineRule="exact"/>
        <w:ind w:left="1916" w:right="85" w:hanging="320" w:leftChars="760" w:hangingChars="1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2024年度第一批</w:t>
      </w:r>
      <w:r>
        <w:rPr>
          <w:rFonts w:ascii="仿宋" w:eastAsia="仿宋" w:hAnsi="仿宋" w:cs="仿宋" w:hint="eastAsia"/>
          <w:sz w:val="32"/>
          <w:szCs w:val="32"/>
        </w:rPr>
        <w:t>产业开发建设项目财政衔接补助</w:t>
      </w:r>
    </w:p>
    <w:p>
      <w:pPr>
        <w:spacing w:line="560" w:lineRule="exact"/>
        <w:ind w:left="1916" w:right="85" w:hanging="320" w:leftChars="760" w:hangingChars="1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资金安排表</w:t>
      </w:r>
    </w:p>
    <w:p>
      <w:pPr>
        <w:pStyle w:val="BodyText"/>
        <w:rPr>
          <w:rFonts w:ascii="仿宋" w:eastAsia="仿宋" w:hAnsi="仿宋" w:cs="仿宋"/>
        </w:rPr>
      </w:pPr>
    </w:p>
    <w:p>
      <w:pPr>
        <w:pStyle w:val="BodyTextFirstIndent"/>
        <w:rPr>
          <w:rFonts w:ascii="仿宋" w:eastAsia="仿宋" w:hAnsi="仿宋" w:cs="仿宋"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right="640" w:firstLine="1920" w:firstLineChars="6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永嘉县财政局</w:t>
      </w:r>
      <w:r>
        <w:rPr>
          <w:rFonts w:ascii="仿宋" w:eastAsia="仿宋" w:hAnsi="仿宋" w:cs="仿宋" w:hint="eastAsia"/>
          <w:sz w:val="10"/>
          <w:szCs w:val="10"/>
        </w:rPr>
        <w:t xml:space="preserve">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永嘉县农业农村局</w:t>
      </w:r>
    </w:p>
    <w:p>
      <w:pPr>
        <w:pStyle w:val="EndnoteText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>
      <w:pPr>
        <w:pStyle w:val="EndnoteText"/>
        <w:spacing w:line="560" w:lineRule="exact"/>
        <w:rPr>
          <w:rFonts w:ascii="仿宋" w:eastAsia="仿宋" w:hAnsi="仿宋" w:cs="仿宋" w:hint="eastAsia"/>
        </w:rPr>
      </w:pPr>
    </w:p>
    <w:p>
      <w:pPr>
        <w:pStyle w:val="EndnoteText"/>
        <w:spacing w:line="560" w:lineRule="exact"/>
        <w:rPr>
          <w:rFonts w:ascii="仿宋" w:eastAsia="仿宋" w:hAnsi="仿宋" w:cs="仿宋" w:hint="eastAsia"/>
        </w:rPr>
      </w:pPr>
    </w:p>
    <w:p>
      <w:pPr>
        <w:spacing w:line="560" w:lineRule="exact"/>
        <w:ind w:right="64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10"/>
          <w:szCs w:val="10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永嘉县乡村振兴局</w:t>
      </w:r>
    </w:p>
    <w:p>
      <w:pPr>
        <w:spacing w:line="560" w:lineRule="exact"/>
        <w:ind w:right="664" w:firstLine="3520" w:rightChars="316" w:firstLineChars="11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202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>
      <w:pPr>
        <w:pStyle w:val="BodyText"/>
        <w:rPr>
          <w:rFonts w:ascii="仿宋" w:eastAsia="仿宋" w:hAnsi="仿宋" w:cs="仿宋" w:hint="eastAsia"/>
          <w:sz w:val="32"/>
          <w:szCs w:val="32"/>
        </w:rPr>
      </w:pPr>
    </w:p>
    <w:p>
      <w:pPr>
        <w:pStyle w:val="BodyTextFirstIndent"/>
        <w:rPr>
          <w:rFonts w:ascii="仿宋" w:eastAsia="仿宋" w:hAnsi="仿宋" w:cs="仿宋"/>
          <w:sz w:val="32"/>
          <w:szCs w:val="32"/>
        </w:rPr>
      </w:pPr>
    </w:p>
    <w:p>
      <w:pPr>
        <w:pStyle w:val="BodyText"/>
      </w:pPr>
    </w:p>
    <w:p>
      <w:pPr>
        <w:spacing w:line="200" w:lineRule="exact"/>
        <w:jc w:val="center"/>
        <w:rPr>
          <w:rFonts w:eastAsia="仿宋_GB2312" w:cs="仿宋_GB2312"/>
          <w:sz w:val="32"/>
          <w:szCs w:val="32"/>
        </w:rPr>
      </w:pPr>
    </w:p>
    <w:p>
      <w:pPr>
        <w:pStyle w:val="BodyText"/>
        <w:spacing w:line="400" w:lineRule="exact"/>
        <w:rPr>
          <w:rFonts w:ascii="仿宋" w:eastAsia="仿宋" w:hAnsi="仿宋" w:cs="仿宋"/>
          <w:sz w:val="32"/>
          <w:szCs w:val="32"/>
        </w:rPr>
        <w:sectPr>
          <w:headerReference w:type="default" r:id="rId5"/>
          <w:footerReference w:type="default" r:id="rId6"/>
          <w:pgSz w:w="11906" w:h="16838"/>
          <w:pgMar w:top="2041" w:right="1531" w:bottom="1417" w:left="1531" w:header="567" w:footer="1417" w:gutter="0"/>
          <w:pgNumType w:fmt="numberInDash"/>
          <w:cols w:num="1" w:space="720"/>
          <w:docGrid w:type="lines" w:linePitch="312" w:charSpace="0"/>
        </w:sectPr>
      </w:pPr>
      <w:bookmarkStart w:id="1" w:name="dyjd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308610</wp:posOffset>
                </wp:positionV>
                <wp:extent cx="5514975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5" style="mso-height-relative:page;mso-width-relative:page;position:absolute;z-index:251661312" from="0.75pt,24.3pt" to="435pt,24.3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bookmarkEnd w:id="1"/>
      <w:r>
        <w:rPr>
          <w:rFonts w:eastAsia="仿宋_GB2312" w:cs="仿宋_GB2312" w:hint="eastAsia"/>
          <w:b w:val="0"/>
          <w:bCs w:val="0"/>
          <w:sz w:val="32"/>
          <w:szCs w:val="32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514975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style="mso-height-relative:page;mso-width-relative:page;position:absolute;z-index:251659264" from="0,1.4pt" to="434.25pt,1.4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永嘉县财政局办公室              202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年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月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  <w:lang w:val="en-US" w:eastAsia="zh-CN"/>
        </w:rPr>
        <w:t>11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日印发</w:t>
      </w:r>
    </w:p>
    <w:p>
      <w:pPr>
        <w:spacing w:line="600" w:lineRule="exact"/>
        <w:jc w:val="left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宋体" w:eastAsia="宋体" w:hAnsi="宋体" w:cs="宋体" w:hint="eastAsia"/>
          <w:b w:val="0"/>
          <w:bCs w:val="0"/>
          <w:sz w:val="44"/>
          <w:szCs w:val="44"/>
          <w:lang w:eastAsia="zh-CN"/>
        </w:rPr>
        <w:t>2024年度第一批</w:t>
      </w:r>
      <w:r>
        <w:rPr>
          <w:rFonts w:ascii="宋体" w:eastAsia="宋体" w:hAnsi="宋体" w:cs="宋体" w:hint="eastAsia"/>
          <w:sz w:val="44"/>
          <w:szCs w:val="44"/>
        </w:rPr>
        <w:t>农村基础设施项目财政衔接补助资金安排表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>
      <w:pPr>
        <w:spacing w:line="500" w:lineRule="exact"/>
        <w:jc w:val="righ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单位：万元</w:t>
      </w:r>
    </w:p>
    <w:tbl>
      <w:tblPr>
        <w:tblStyle w:val="TableNormal"/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053"/>
        <w:gridCol w:w="914"/>
        <w:gridCol w:w="900"/>
        <w:gridCol w:w="1186"/>
        <w:gridCol w:w="1254"/>
        <w:gridCol w:w="3041"/>
        <w:gridCol w:w="1017"/>
        <w:gridCol w:w="1037"/>
        <w:gridCol w:w="1032"/>
        <w:gridCol w:w="956"/>
        <w:gridCol w:w="1345"/>
      </w:tblGrid>
      <w:tr>
        <w:tblPrEx>
          <w:tblW w:w="1422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（街道）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建设地点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项目建设内容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审定价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补助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资金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已预拨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资金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本次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补助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备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>
        <w:tblPrEx>
          <w:tblW w:w="1422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岩坦镇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林坑村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周方超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九间坑至田场机耕路建造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林坑村九间坑至田场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路基800米长*5米宽。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43.12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 w:hint="default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30.18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12.68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 w:bidi="ar"/>
              </w:rPr>
              <w:t>革命老区村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年第一批项目</w:t>
            </w:r>
          </w:p>
        </w:tc>
      </w:tr>
      <w:tr>
        <w:tblPrEx>
          <w:tblW w:w="1422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岩头镇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碎坑村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刘永平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外屋前过溪拱桥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碎坑村村口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拱桥长度30米、宽度5米、高度6.5米，河滩叠头墙7米。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35.67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24.96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24.96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 w:bidi="ar"/>
              </w:rPr>
              <w:t>革命老区村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年第一批项目</w:t>
            </w:r>
          </w:p>
        </w:tc>
      </w:tr>
      <w:tr>
        <w:tblPrEx>
          <w:tblW w:w="14222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78.79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55.14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37.64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BodyTextFirstIndent"/>
        <w:spacing w:line="600" w:lineRule="exact"/>
        <w:ind w:firstLine="0"/>
        <w:rPr>
          <w:rFonts w:cs="黑体"/>
          <w:b w:val="0"/>
          <w:bCs w:val="0"/>
          <w:sz w:val="32"/>
          <w:szCs w:val="32"/>
        </w:rPr>
        <w:sectPr>
          <w:headerReference w:type="default" r:id="rId7"/>
          <w:footerReference w:type="default" r:id="rId8"/>
          <w:pgSz w:w="16838" w:h="11906" w:orient="landscape"/>
          <w:pgMar w:top="2098" w:right="1474" w:bottom="1417" w:left="1587" w:header="567" w:footer="1417" w:gutter="0"/>
          <w:pgNumType w:fmt="numberInDash"/>
          <w:cols w:num="1" w:space="720"/>
          <w:docGrid w:type="lines" w:linePitch="312" w:charSpace="0"/>
        </w:sectPr>
      </w:pPr>
    </w:p>
    <w:p>
      <w:pPr>
        <w:pStyle w:val="BodyTextFirstIndent"/>
        <w:spacing w:line="600" w:lineRule="exact"/>
        <w:ind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附件2:</w:t>
      </w:r>
    </w:p>
    <w:p>
      <w:pPr>
        <w:pStyle w:val="BodyTextFirstIndent"/>
        <w:spacing w:line="600" w:lineRule="exact"/>
        <w:ind w:firstLine="0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eastAsia="zh-CN"/>
        </w:rPr>
        <w:t>2024年度第一批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产业开发建设项目财政衔接补助资金安排表</w:t>
      </w: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TableNormal"/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45"/>
        <w:gridCol w:w="1526"/>
        <w:gridCol w:w="819"/>
        <w:gridCol w:w="1609"/>
        <w:gridCol w:w="1227"/>
        <w:gridCol w:w="3504"/>
        <w:gridCol w:w="1064"/>
        <w:gridCol w:w="982"/>
        <w:gridCol w:w="2124"/>
      </w:tblGrid>
      <w:tr>
        <w:tblPrEx>
          <w:tblW w:w="142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乡镇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（街道）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公司（合作社）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建设地点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项目建设内容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综合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审定价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补助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资金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备 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>
        <w:tblPrEx>
          <w:tblW w:w="14295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 w:bidi="ar"/>
              </w:rPr>
              <w:t>茗岙乡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茗岙乡新郑村股份经济合作社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郑建利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新郑村茄子基地机耕道路硬化工程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乾口水口至梯头凹田机耕路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1.路基开挖及道路硬化长820米、宽3米、厚0.18米；2.驳坎长60米、高1.5米。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35.50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 w:hAnsi="Times New Roman" w:hint="default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24.85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eastAsia="zh-CN" w:bidi="ar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批项目</w:t>
            </w:r>
          </w:p>
        </w:tc>
      </w:tr>
      <w:tr>
        <w:tblPrEx>
          <w:tblW w:w="14295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35.50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24.85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top"/>
          </w:tcPr>
          <w:p>
            <w:pPr>
              <w:pStyle w:val="BodyText"/>
            </w:pPr>
          </w:p>
        </w:tc>
      </w:tr>
    </w:tbl>
    <w:p>
      <w:pPr>
        <w:spacing w:line="440" w:lineRule="exact"/>
        <w:rPr>
          <w:rFonts w:ascii="Times New Roman" w:eastAsia="宋体" w:hAnsi="Times New Roman"/>
        </w:rPr>
        <w:sectPr>
          <w:headerReference w:type="default" r:id="rId9"/>
          <w:pgSz w:w="16838" w:h="11906" w:orient="landscape"/>
          <w:pgMar w:top="1531" w:right="1474" w:bottom="1984" w:left="1587" w:header="567" w:footer="1871" w:gutter="0"/>
          <w:pgNumType w:fmt="numberInDash"/>
          <w:cols w:num="1" w:space="720"/>
          <w:docGrid w:type="lines" w:linePitch="312" w:charSpace="0"/>
        </w:sectPr>
      </w:pPr>
    </w:p>
    <w:p>
      <w:pPr>
        <w:rPr>
          <w:rFonts w:ascii="宋体" w:eastAsia="宋体" w:hAnsi="宋体"/>
        </w:rPr>
      </w:pPr>
    </w:p>
    <w:sectPr>
      <w:headerReference w:type="default" r:id="rId10"/>
      <w:pgSz w:w="11906" w:h="16838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center;mso-position-horizontal-relative:margin;mso-width-relative:page;mso-wrap-style:none;position:absolute;z-index:251661312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width:411.98pt;height:40.52pt;margin-top:400.69pt;margin-left:91.66pt;mso-position-horizontal-relative:page;mso-position-vertical-relative:page;position:absolute;rotation:315;z-index:251662336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width:411.98pt;height:40.52pt;margin-top:277.39pt;margin-left:214.96pt;mso-position-horizontal-relative:page;mso-position-vertical-relative:page;position:absolute;rotation:315;z-index:251663360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width:411.98pt;height:40.52pt;margin-top:277.39pt;margin-left:214.96pt;mso-position-horizontal-relative:page;mso-position-vertical-relative:page;position:absolute;rotation:315;z-index:251664384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width:411.98pt;height:40.52pt;margin-top:400.69pt;margin-left:91.66pt;mso-position-horizontal-relative:page;mso-position-vertical-relative:page;position:absolute;rotation:315;z-index:251665408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bordersDoNotSurroundHeader/>
  <w:bordersDoNotSurroundFooter/>
  <w:trackRevision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340E64"/>
    <w:rsid w:val="00356F88"/>
    <w:rsid w:val="00AA0B89"/>
    <w:rsid w:val="0142677D"/>
    <w:rsid w:val="11F93B8B"/>
    <w:rsid w:val="169040BE"/>
    <w:rsid w:val="185019BB"/>
    <w:rsid w:val="2DD525FF"/>
    <w:rsid w:val="3F177B55"/>
    <w:rsid w:val="493D6D80"/>
    <w:rsid w:val="54FC530D"/>
    <w:rsid w:val="5B9B3853"/>
  </w:rsids>
  <w:docVars>
    <w:docVar w:name="commondata" w:val="eyJoZGlkIjoiYzk5YmI2OGY1MGUxOWM0NGJhOTJjNmQ5ZmY4ZmExN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 w:semiHidden="0" w:uiPriority="0" w:unhideWhenUsed="0" w:qFormat="1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semiHidden="0" w:uiPriority="1" w:qFormat="1"/>
    <w:lsdException w:name="Body Text" w:semiHidden="0" w:uiPriority="0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 w:semiHidden="0" w:uiPriority="0" w:unhideWhenUsed="0" w:qFormat="1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semiHidden="0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EndnoteTex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autoRedefine/>
    <w:uiPriority w:val="1"/>
    <w:unhideWhenUsed/>
    <w:qFormat/>
  </w:style>
  <w:style w:type="table" w:default="1" w:styleId="TableNormal">
    <w:name w:val="Normal Table"/>
    <w:autoRedefine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autoRedefine/>
    <w:qFormat/>
  </w:style>
  <w:style w:type="paragraph" w:styleId="BodyText">
    <w:name w:val="Body Text"/>
    <w:basedOn w:val="Normal"/>
    <w:next w:val="BodyTextFirstIndent"/>
    <w:autoRedefine/>
    <w:qFormat/>
    <w:rPr>
      <w:rFonts w:ascii="黑体" w:eastAsia="黑体" w:hAnsi="黑体"/>
      <w:b/>
      <w:bCs/>
      <w:sz w:val="36"/>
      <w:szCs w:val="36"/>
    </w:rPr>
  </w:style>
  <w:style w:type="paragraph" w:styleId="BodyTextFirstIndent">
    <w:name w:val="Body Text First Indent"/>
    <w:basedOn w:val="BodyText"/>
    <w:next w:val="Normal"/>
    <w:autoRedefine/>
    <w:qFormat/>
    <w:pPr>
      <w:spacing w:before="100" w:beforeAutospacing="1" w:line="500" w:lineRule="exact"/>
      <w:ind w:firstLine="420"/>
    </w:pPr>
    <w:rPr>
      <w:sz w:val="28"/>
      <w:szCs w:val="28"/>
    </w:rPr>
  </w:style>
  <w:style w:type="paragraph" w:styleId="Footer">
    <w:name w:val="footer"/>
    <w:basedOn w:val="Normal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10" Target="header4.xml" Type="http://schemas.openxmlformats.org/officeDocument/2006/relationships/header"/><Relationship Id="rId11" Target="theme/theme1.xml" Type="http://schemas.openxmlformats.org/officeDocument/2006/relationships/theme"/><Relationship Id="rId12" Target="styles.xml" Type="http://schemas.openxmlformats.org/officeDocument/2006/relationships/style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header2.xml" Type="http://schemas.openxmlformats.org/officeDocument/2006/relationships/header"/><Relationship Id="rId8" Target="footer2.xml" Type="http://schemas.openxmlformats.org/officeDocument/2006/relationships/footer"/><Relationship Id="rId9" Target="header3.xml" Type="http://schemas.openxmlformats.org/officeDocument/2006/relationships/header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852</Words>
  <Characters>991</Characters>
  <Application>Microsoft Office Word</Application>
  <DocSecurity>0</DocSecurity>
  <Lines>0</Lines>
  <Paragraphs>0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2022-02-24T12:11:00Z</dcterms:created>
  <dc:creator>超级管理员</dc:creator>
  <cp:lastModifiedBy>办公室</cp:lastModifiedBy>
  <cp:lastPrinted>2024-03-12T01:55:25Z</cp:lastPrinted>
  <dcterms:modified xsi:type="dcterms:W3CDTF">2024-03-12T02:11:48Z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5A9EEC9B67484A49B2D52FC24A9A573A_12</vt:lpwstr>
  </property>
  <property fmtid="{D5CDD505-2E9C-101B-9397-08002B2CF9AE}" pid="3" name="KSOProductBuildVer">
    <vt:lpwstr>2052-12.1.0.16388</vt:lpwstr>
  </property>
  <property pid="4" fmtid="{D5CDD505-2E9C-101B-9397-08002B2CF9AE}" name="Author-Walter-Mark">
    <vt:lpwstr>5rC45ZiJT0Ff5pa56ZuF5am3LTEzNjk1ODYwODg1XzIwMjQwMzEzMDg0OTMwNDI3</vt:lpwstr>
  </property>
</Properties>
</file>