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kern w:val="0"/>
          <w:sz w:val="44"/>
          <w:szCs w:val="44"/>
          <w:lang w:val="en-US" w:eastAsia="zh-CN"/>
        </w:rPr>
      </w:pPr>
      <w:bookmarkStart w:id="6" w:name="_GoBack"/>
      <w:r>
        <w:rPr>
          <w:rFonts w:hint="eastAsia" w:ascii="方正小标宋_GBK" w:hAnsi="方正小标宋_GBK" w:eastAsia="方正小标宋_GBK" w:cs="方正小标宋_GBK"/>
          <w:kern w:val="0"/>
          <w:sz w:val="44"/>
          <w:szCs w:val="44"/>
        </w:rPr>
        <w:t>永嘉县科学技术发展“十四五”规划</w:t>
      </w:r>
      <w:r>
        <w:rPr>
          <w:rFonts w:hint="eastAsia" w:ascii="方正小标宋_GBK" w:hAnsi="方正小标宋_GBK" w:eastAsia="方正小标宋_GBK" w:cs="方正小标宋_GBK"/>
          <w:kern w:val="0"/>
          <w:sz w:val="44"/>
          <w:szCs w:val="44"/>
          <w:lang w:eastAsia="zh-CN"/>
        </w:rPr>
        <w:t>（</w:t>
      </w:r>
      <w:r>
        <w:rPr>
          <w:rFonts w:hint="eastAsia" w:ascii="方正小标宋_GBK" w:hAnsi="方正小标宋_GBK" w:eastAsia="方正小标宋_GBK" w:cs="方正小标宋_GBK"/>
          <w:kern w:val="0"/>
          <w:sz w:val="44"/>
          <w:szCs w:val="44"/>
          <w:lang w:val="en-US" w:eastAsia="zh-CN"/>
        </w:rPr>
        <w:t>征求意见稿</w:t>
      </w:r>
      <w:r>
        <w:rPr>
          <w:rFonts w:hint="eastAsia" w:ascii="方正小标宋_GBK" w:hAnsi="方正小标宋_GBK" w:eastAsia="方正小标宋_GBK" w:cs="方正小标宋_GBK"/>
          <w:kern w:val="0"/>
          <w:sz w:val="44"/>
          <w:szCs w:val="44"/>
          <w:lang w:eastAsia="zh-CN"/>
        </w:rPr>
        <w:t>）</w:t>
      </w:r>
      <w:r>
        <w:rPr>
          <w:rFonts w:hint="eastAsia" w:ascii="方正小标宋_GBK" w:hAnsi="方正小标宋_GBK" w:eastAsia="方正小标宋_GBK" w:cs="方正小标宋_GBK"/>
          <w:kern w:val="0"/>
          <w:sz w:val="44"/>
          <w:szCs w:val="44"/>
          <w:lang w:val="en-US" w:eastAsia="zh-CN"/>
        </w:rPr>
        <w:t>起草说明</w:t>
      </w:r>
    </w:p>
    <w:bookmarkEnd w:id="6"/>
    <w:p>
      <w:pPr>
        <w:pageBreakBefore w:val="0"/>
        <w:kinsoku/>
        <w:wordWrap/>
        <w:overflowPunct/>
        <w:topLinePunct w:val="0"/>
        <w:autoSpaceDE/>
        <w:autoSpaceDN/>
        <w:bidi w:val="0"/>
        <w:adjustRightInd/>
        <w:snapToGrid/>
        <w:spacing w:line="560" w:lineRule="exact"/>
        <w:ind w:firstLine="640" w:firstLineChars="200"/>
        <w:textAlignment w:val="auto"/>
        <w:rPr>
          <w:rFonts w:hint="eastAsia" w:eastAsia="仿宋_GB2312"/>
          <w:kern w:val="0"/>
          <w:sz w:val="32"/>
          <w:szCs w:val="32"/>
          <w:lang w:val="en-US" w:eastAsia="zh-CN"/>
        </w:rPr>
      </w:pPr>
    </w:p>
    <w:p>
      <w:pPr>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kern w:val="0"/>
          <w:sz w:val="32"/>
          <w:szCs w:val="32"/>
          <w:lang w:val="en-US" w:eastAsia="zh-CN"/>
        </w:rPr>
      </w:pPr>
      <w:r>
        <w:rPr>
          <w:rFonts w:hint="eastAsia" w:eastAsia="仿宋_GB2312"/>
          <w:kern w:val="0"/>
          <w:sz w:val="32"/>
          <w:szCs w:val="32"/>
          <w:lang w:val="en-US" w:eastAsia="zh-CN"/>
        </w:rPr>
        <w:t>为贯彻落实</w:t>
      </w:r>
      <w:r>
        <w:rPr>
          <w:rFonts w:hint="eastAsia" w:eastAsia="仿宋_GB2312"/>
          <w:kern w:val="0"/>
          <w:sz w:val="32"/>
          <w:szCs w:val="32"/>
        </w:rPr>
        <w:t>深入实施创新驱动战略、建设高水平创新型县</w:t>
      </w:r>
      <w:r>
        <w:rPr>
          <w:rFonts w:hint="eastAsia" w:eastAsia="仿宋_GB2312"/>
          <w:kern w:val="0"/>
          <w:sz w:val="32"/>
          <w:szCs w:val="32"/>
          <w:lang w:eastAsia="zh-CN"/>
        </w:rPr>
        <w:t>，</w:t>
      </w:r>
      <w:r>
        <w:rPr>
          <w:rFonts w:hint="eastAsia" w:eastAsia="仿宋_GB2312"/>
          <w:kern w:val="0"/>
          <w:sz w:val="32"/>
          <w:szCs w:val="32"/>
          <w:lang w:val="en-US" w:eastAsia="zh-CN"/>
        </w:rPr>
        <w:t>结合我县实际，特制订《永嘉县科学技术发展“十四五”规划（征求意见稿）》（以下简称《规划》），现将情况说明如下：</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一、起草《规划》的必要性</w:t>
      </w:r>
    </w:p>
    <w:p>
      <w:pPr>
        <w:pageBreakBefore w:val="0"/>
        <w:kinsoku/>
        <w:wordWrap/>
        <w:overflowPunct/>
        <w:topLinePunct w:val="0"/>
        <w:autoSpaceDE/>
        <w:autoSpaceDN/>
        <w:bidi w:val="0"/>
        <w:adjustRightInd/>
        <w:snapToGrid/>
        <w:spacing w:line="560" w:lineRule="exact"/>
        <w:ind w:firstLine="640" w:firstLineChars="200"/>
        <w:textAlignment w:val="auto"/>
        <w:rPr>
          <w:rFonts w:eastAsia="仿宋_GB2312"/>
          <w:kern w:val="0"/>
          <w:sz w:val="32"/>
          <w:szCs w:val="32"/>
        </w:rPr>
      </w:pPr>
      <w:r>
        <w:rPr>
          <w:rFonts w:hint="eastAsia" w:eastAsia="仿宋_GB2312"/>
          <w:kern w:val="0"/>
          <w:sz w:val="32"/>
          <w:szCs w:val="32"/>
          <w:lang w:val="en-US" w:eastAsia="zh-CN"/>
        </w:rPr>
        <w:t>贯彻落实</w:t>
      </w:r>
      <w:r>
        <w:rPr>
          <w:rFonts w:hint="eastAsia" w:eastAsia="仿宋_GB2312"/>
          <w:kern w:val="0"/>
          <w:sz w:val="32"/>
          <w:szCs w:val="32"/>
        </w:rPr>
        <w:t>深入实施创新驱动战略、建设高水平创新型县</w:t>
      </w:r>
      <w:r>
        <w:rPr>
          <w:rFonts w:eastAsia="仿宋_GB2312"/>
          <w:kern w:val="0"/>
          <w:sz w:val="32"/>
          <w:szCs w:val="32"/>
        </w:rPr>
        <w:t>是深入实施</w:t>
      </w:r>
      <w:r>
        <w:rPr>
          <w:rFonts w:hint="eastAsia" w:eastAsia="仿宋_GB2312"/>
          <w:kern w:val="0"/>
          <w:sz w:val="32"/>
          <w:szCs w:val="32"/>
        </w:rPr>
        <w:t>“</w:t>
      </w:r>
      <w:r>
        <w:rPr>
          <w:rFonts w:eastAsia="仿宋_GB2312"/>
          <w:kern w:val="0"/>
          <w:sz w:val="32"/>
          <w:szCs w:val="32"/>
        </w:rPr>
        <w:t>八八战略</w:t>
      </w:r>
      <w:r>
        <w:rPr>
          <w:rFonts w:hint="eastAsia" w:eastAsia="仿宋_GB2312"/>
          <w:kern w:val="0"/>
          <w:sz w:val="32"/>
          <w:szCs w:val="32"/>
        </w:rPr>
        <w:t>”</w:t>
      </w:r>
      <w:r>
        <w:rPr>
          <w:rFonts w:eastAsia="仿宋_GB2312"/>
          <w:kern w:val="0"/>
          <w:sz w:val="32"/>
          <w:szCs w:val="32"/>
        </w:rPr>
        <w:t>的重要举措，是</w:t>
      </w:r>
      <w:r>
        <w:rPr>
          <w:rFonts w:hint="eastAsia" w:eastAsia="仿宋_GB2312"/>
          <w:kern w:val="0"/>
          <w:sz w:val="32"/>
          <w:szCs w:val="32"/>
        </w:rPr>
        <w:t>在新征程上奋力续写好新时代永嘉创新史</w:t>
      </w:r>
      <w:r>
        <w:rPr>
          <w:rFonts w:eastAsia="仿宋_GB2312"/>
          <w:kern w:val="0"/>
          <w:sz w:val="32"/>
          <w:szCs w:val="32"/>
        </w:rPr>
        <w:t>的核心内容。科学编制和有效实施科技</w:t>
      </w:r>
      <w:r>
        <w:rPr>
          <w:rFonts w:hint="eastAsia" w:eastAsia="仿宋_GB2312"/>
          <w:kern w:val="0"/>
          <w:sz w:val="32"/>
          <w:szCs w:val="32"/>
        </w:rPr>
        <w:t>发展“</w:t>
      </w:r>
      <w:r>
        <w:rPr>
          <w:rFonts w:eastAsia="仿宋_GB2312"/>
          <w:kern w:val="0"/>
          <w:sz w:val="32"/>
          <w:szCs w:val="32"/>
        </w:rPr>
        <w:t>十四五</w:t>
      </w:r>
      <w:r>
        <w:rPr>
          <w:rFonts w:hint="eastAsia" w:eastAsia="仿宋_GB2312"/>
          <w:kern w:val="0"/>
          <w:sz w:val="32"/>
          <w:szCs w:val="32"/>
        </w:rPr>
        <w:t>”</w:t>
      </w:r>
      <w:r>
        <w:rPr>
          <w:rFonts w:eastAsia="仿宋_GB2312"/>
          <w:kern w:val="0"/>
          <w:sz w:val="32"/>
          <w:szCs w:val="32"/>
        </w:rPr>
        <w:t>规划，对于主动拥抱百年未有之大变局、全面提升区域核心竞争力、高水平推进社会主义现代化建设新征程具有重大而深远的意义。</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二、起草《规划》的依据</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eastAsia="仿宋_GB2312"/>
          <w:kern w:val="0"/>
          <w:sz w:val="32"/>
          <w:szCs w:val="32"/>
        </w:rPr>
      </w:pPr>
      <w:r>
        <w:rPr>
          <w:rFonts w:hint="eastAsia" w:eastAsia="仿宋_GB2312"/>
          <w:kern w:val="0"/>
          <w:sz w:val="32"/>
          <w:szCs w:val="32"/>
        </w:rPr>
        <w:t>本规划根据《温州市科学技术发展“十四五”规划》《永嘉县国民经济和社会发展第十四个五年规划纲要》《中共永嘉县委关于深入实施创新驱动战略建设高水平创新型县的决定》等文件的总体部署与战略要求开展编制。规划年限为2021年至2025年。</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三、起草过程</w:t>
      </w:r>
    </w:p>
    <w:p>
      <w:pPr>
        <w:pageBreakBefore w:val="0"/>
        <w:numPr>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华文仿宋" w:eastAsia="仿宋_GB2312" w:cs="华文仿宋"/>
          <w:bCs/>
          <w:color w:val="000000"/>
          <w:kern w:val="0"/>
          <w:sz w:val="32"/>
          <w:szCs w:val="32"/>
          <w:lang w:val="en-US" w:eastAsia="zh-CN" w:bidi="ar"/>
        </w:rPr>
      </w:pPr>
      <w:r>
        <w:rPr>
          <w:rFonts w:hint="eastAsia" w:eastAsia="仿宋_GB2312"/>
          <w:kern w:val="0"/>
          <w:sz w:val="32"/>
          <w:szCs w:val="32"/>
          <w:lang w:val="en-US" w:eastAsia="zh-CN"/>
        </w:rPr>
        <w:t>根据</w:t>
      </w:r>
      <w:r>
        <w:rPr>
          <w:rFonts w:hint="eastAsia" w:eastAsia="仿宋_GB2312"/>
          <w:kern w:val="0"/>
          <w:sz w:val="32"/>
          <w:szCs w:val="32"/>
        </w:rPr>
        <w:t>《温州市科学技术发展“十四五”规划》《永嘉县国民经济和社会发展第十四个五年规划纲要》《中共永嘉县委关于深入实施创新驱动战略建设高水平创新型县的决定》等文件</w:t>
      </w:r>
      <w:r>
        <w:rPr>
          <w:rFonts w:hint="eastAsia" w:eastAsia="仿宋_GB2312"/>
          <w:kern w:val="0"/>
          <w:sz w:val="32"/>
          <w:szCs w:val="32"/>
          <w:lang w:eastAsia="zh-CN"/>
        </w:rPr>
        <w:t>，</w:t>
      </w:r>
      <w:r>
        <w:rPr>
          <w:rFonts w:hint="eastAsia" w:eastAsia="仿宋_GB2312"/>
          <w:kern w:val="0"/>
          <w:sz w:val="32"/>
          <w:szCs w:val="32"/>
          <w:lang w:val="en-US" w:eastAsia="zh-CN"/>
        </w:rPr>
        <w:t>经过反复修改，形成了《（征求意见稿）》，通过网络征</w:t>
      </w:r>
      <w:r>
        <w:rPr>
          <w:rFonts w:hint="eastAsia" w:ascii="仿宋_GB2312" w:hAnsi="华文仿宋" w:eastAsia="仿宋_GB2312" w:cs="华文仿宋"/>
          <w:bCs/>
          <w:color w:val="000000"/>
          <w:kern w:val="0"/>
          <w:sz w:val="32"/>
          <w:szCs w:val="32"/>
          <w:lang w:val="en-US" w:eastAsia="zh-CN" w:bidi="ar"/>
        </w:rPr>
        <w:t>求意见、召开座谈会等形式征求了意见并进行了认真修改。</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四、《规划》主要内容</w:t>
      </w:r>
    </w:p>
    <w:p>
      <w:pPr>
        <w:pageBreakBefore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t>全文分为四章，分别为：</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t>一是发展现状与形势。总结“十三五”期间永嘉在科技创新领域取得的显著成效。</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t>二是总体思路与发展目标。以强化战略支撑、强化科技赋能、强化人才引领、强化改革创新为基本原则；以创新投入进一步加大、创新能力进一步增强、人才高地建设加快推进、创新环境进一步优化为主要目标。</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t>三是科技发展的主要任务。主要任务共有八项，分别为：</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"_Toc16288"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（一）构筑“一廊一区”格局，打造区域创新策源地</w:t>
      </w:r>
      <w:r>
        <w:rPr>
          <w:rFonts w:hint="eastAsia" w:ascii="仿宋_GB2312" w:hAnsi="华文仿宋" w:eastAsia="仿宋_GB2312" w:cs="华文仿宋"/>
          <w:bCs/>
          <w:color w:val="000000"/>
          <w:kern w:val="0"/>
          <w:sz w:val="32"/>
          <w:szCs w:val="32"/>
          <w:lang w:val="en-US" w:eastAsia="zh-CN" w:bidi="ar"/>
        </w:rPr>
        <w:fldChar w:fldCharType="end"/>
      </w:r>
      <w:r>
        <w:rPr>
          <w:rFonts w:hint="eastAsia" w:ascii="仿宋_GB2312" w:hAnsi="华文仿宋" w:eastAsia="仿宋_GB2312" w:cs="华文仿宋"/>
          <w:bCs/>
          <w:color w:val="000000"/>
          <w:kern w:val="0"/>
          <w:sz w:val="32"/>
          <w:szCs w:val="32"/>
          <w:lang w:val="en-US" w:eastAsia="zh-CN" w:bidi="ar"/>
        </w:rPr>
        <w:t>。</w:t>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"_Toc16288"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（二）加强科技创新载体支撑，构筑高能级平台体系。</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"_Toc22174"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（三）大力培育企业创新主体，促进产业高级化发展。</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"_Toc20663"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（四）强化科技人才招引培育，建设高素质人才队伍。</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"_Toc30249"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（五）聚焦特色产业培育布局，技术攻坚抢占制高点。</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"_Toc1149"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（六）构建一流创新生态体系，全面塑造创新新格局。</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"_Toc17459"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（七）助推区域创新协同发展，构建科技合作大网络。</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fldChar w:fldCharType="begin"/>
      </w:r>
      <w:r>
        <w:rPr>
          <w:rFonts w:hint="eastAsia" w:ascii="仿宋_GB2312" w:hAnsi="华文仿宋" w:eastAsia="仿宋_GB2312" w:cs="华文仿宋"/>
          <w:bCs/>
          <w:color w:val="000000"/>
          <w:kern w:val="0"/>
          <w:sz w:val="32"/>
          <w:szCs w:val="32"/>
          <w:lang w:val="en-US" w:eastAsia="zh-CN" w:bidi="ar"/>
        </w:rPr>
        <w:instrText xml:space="preserve"> HYPERLINK \l "_Toc20715" </w:instrText>
      </w:r>
      <w:r>
        <w:rPr>
          <w:rFonts w:hint="eastAsia" w:ascii="仿宋_GB2312" w:hAnsi="华文仿宋" w:eastAsia="仿宋_GB2312" w:cs="华文仿宋"/>
          <w:bCs/>
          <w:color w:val="000000"/>
          <w:kern w:val="0"/>
          <w:sz w:val="32"/>
          <w:szCs w:val="32"/>
          <w:lang w:val="en-US" w:eastAsia="zh-CN" w:bidi="ar"/>
        </w:rPr>
        <w:fldChar w:fldCharType="separate"/>
      </w:r>
      <w:r>
        <w:rPr>
          <w:rFonts w:hint="eastAsia" w:ascii="仿宋_GB2312" w:hAnsi="华文仿宋" w:eastAsia="仿宋_GB2312" w:cs="华文仿宋"/>
          <w:bCs/>
          <w:color w:val="000000"/>
          <w:kern w:val="0"/>
          <w:sz w:val="32"/>
          <w:szCs w:val="32"/>
          <w:lang w:val="en-US" w:eastAsia="zh-CN" w:bidi="ar"/>
        </w:rPr>
        <w:t>（八）强化农业科技创新驱动，提升人民群众获得感。</w:t>
      </w:r>
      <w:r>
        <w:rPr>
          <w:rFonts w:hint="eastAsia" w:ascii="仿宋_GB2312" w:hAnsi="华文仿宋" w:eastAsia="仿宋_GB2312" w:cs="华文仿宋"/>
          <w:bCs/>
          <w:color w:val="000000"/>
          <w:kern w:val="0"/>
          <w:sz w:val="32"/>
          <w:szCs w:val="32"/>
          <w:lang w:val="en-US" w:eastAsia="zh-CN" w:bidi="ar"/>
        </w:rPr>
        <w:fldChar w:fldCharType="end"/>
      </w:r>
    </w:p>
    <w:p>
      <w:pPr>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kern w:val="0"/>
          <w:sz w:val="32"/>
          <w:szCs w:val="32"/>
          <w:lang w:val="en-US" w:eastAsia="zh-CN" w:bidi="ar"/>
        </w:rPr>
      </w:pPr>
      <w:r>
        <w:rPr>
          <w:rFonts w:hint="eastAsia" w:ascii="仿宋_GB2312" w:hAnsi="华文仿宋" w:eastAsia="仿宋_GB2312" w:cs="华文仿宋"/>
          <w:bCs/>
          <w:color w:val="000000"/>
          <w:kern w:val="0"/>
          <w:sz w:val="32"/>
          <w:szCs w:val="32"/>
          <w:lang w:val="en-US" w:eastAsia="zh-CN" w:bidi="ar"/>
        </w:rPr>
        <w:t>四是科技发展保障措施。</w:t>
      </w:r>
      <w:bookmarkStart w:id="0" w:name="_Toc28024"/>
    </w:p>
    <w:p>
      <w:pPr>
        <w:pageBreakBefore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仿宋_GB2312" w:hAnsi="华文仿宋" w:eastAsia="仿宋_GB2312" w:cs="华文仿宋"/>
          <w:b/>
          <w:bCs w:val="0"/>
          <w:color w:val="000000"/>
          <w:kern w:val="0"/>
          <w:sz w:val="32"/>
          <w:szCs w:val="32"/>
          <w:lang w:val="en-US" w:eastAsia="zh-CN" w:bidi="ar"/>
        </w:rPr>
      </w:pPr>
      <w:r>
        <w:rPr>
          <w:rFonts w:hint="eastAsia" w:ascii="仿宋_GB2312" w:hAnsi="华文仿宋" w:eastAsia="仿宋_GB2312" w:cs="华文仿宋"/>
          <w:b/>
          <w:bCs w:val="0"/>
          <w:color w:val="000000"/>
          <w:kern w:val="0"/>
          <w:sz w:val="32"/>
          <w:szCs w:val="32"/>
          <w:lang w:val="en-US" w:eastAsia="zh-CN" w:bidi="ar"/>
        </w:rPr>
        <w:t>加强组织领导</w:t>
      </w:r>
      <w:bookmarkEnd w:id="0"/>
    </w:p>
    <w:p>
      <w:pPr>
        <w:pageBreakBefore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华文仿宋" w:eastAsia="仿宋_GB2312" w:cs="华文仿宋"/>
          <w:bCs/>
          <w:color w:val="000000"/>
          <w:sz w:val="32"/>
          <w:szCs w:val="32"/>
          <w:lang w:bidi="ar"/>
        </w:rPr>
      </w:pPr>
      <w:r>
        <w:rPr>
          <w:rFonts w:hint="eastAsia" w:ascii="仿宋_GB2312" w:hAnsi="华文仿宋" w:eastAsia="仿宋_GB2312" w:cs="华文仿宋"/>
          <w:b w:val="0"/>
          <w:bCs/>
          <w:color w:val="000000"/>
          <w:kern w:val="0"/>
          <w:sz w:val="32"/>
          <w:szCs w:val="32"/>
          <w:lang w:val="en-US" w:eastAsia="zh-CN" w:bidi="ar"/>
        </w:rPr>
        <w:t>加强对科技发展规划落实的组织与实施管理，根</w:t>
      </w:r>
      <w:r>
        <w:rPr>
          <w:rFonts w:hint="eastAsia" w:ascii="仿宋_GB2312" w:hAnsi="华文仿宋" w:eastAsia="仿宋_GB2312" w:cs="华文仿宋"/>
          <w:bCs/>
          <w:color w:val="000000"/>
          <w:sz w:val="32"/>
          <w:szCs w:val="32"/>
          <w:lang w:bidi="ar"/>
        </w:rPr>
        <w:t>据本规划并结合永嘉实际情况制定重大项目实施方案，采取措施确保科技发展“十四五”目标的实现。</w:t>
      </w:r>
    </w:p>
    <w:p>
      <w:pPr>
        <w:pageBreakBefore w:val="0"/>
        <w:numPr>
          <w:ilvl w:val="0"/>
          <w:numId w:val="1"/>
        </w:numPr>
        <w:kinsoku/>
        <w:wordWrap/>
        <w:overflowPunct/>
        <w:topLinePunct w:val="0"/>
        <w:autoSpaceDE/>
        <w:autoSpaceDN/>
        <w:bidi w:val="0"/>
        <w:adjustRightInd/>
        <w:snapToGrid/>
        <w:spacing w:line="560" w:lineRule="exact"/>
        <w:ind w:firstLine="643" w:firstLineChars="200"/>
        <w:textAlignment w:val="auto"/>
        <w:rPr>
          <w:rFonts w:hint="eastAsia" w:ascii="仿宋_GB2312" w:hAnsi="华文仿宋" w:eastAsia="仿宋_GB2312" w:cs="华文仿宋"/>
          <w:b/>
          <w:bCs w:val="0"/>
          <w:color w:val="000000"/>
          <w:kern w:val="0"/>
          <w:sz w:val="32"/>
          <w:szCs w:val="32"/>
          <w:lang w:val="en-US" w:eastAsia="zh-CN" w:bidi="ar"/>
        </w:rPr>
      </w:pPr>
      <w:bookmarkStart w:id="1" w:name="_Toc436832253"/>
      <w:bookmarkStart w:id="2" w:name="_Toc2152"/>
      <w:bookmarkStart w:id="3" w:name="_Toc441076769"/>
      <w:r>
        <w:rPr>
          <w:rFonts w:hint="eastAsia" w:ascii="仿宋_GB2312" w:hAnsi="华文仿宋" w:eastAsia="仿宋_GB2312" w:cs="华文仿宋"/>
          <w:b/>
          <w:bCs w:val="0"/>
          <w:color w:val="000000"/>
          <w:kern w:val="0"/>
          <w:sz w:val="32"/>
          <w:szCs w:val="32"/>
          <w:lang w:val="en-US" w:eastAsia="zh-CN" w:bidi="ar"/>
        </w:rPr>
        <w:t>强化政策导向</w:t>
      </w:r>
      <w:bookmarkEnd w:id="1"/>
      <w:bookmarkEnd w:id="2"/>
      <w:bookmarkEnd w:id="3"/>
    </w:p>
    <w:p>
      <w:pPr>
        <w:pageBreakBefore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Times New Roman"/>
          <w:bCs/>
          <w:sz w:val="32"/>
          <w:szCs w:val="32"/>
        </w:rPr>
      </w:pPr>
      <w:r>
        <w:rPr>
          <w:rFonts w:hint="eastAsia" w:ascii="Times New Roman" w:hAnsi="Times New Roman" w:eastAsia="仿宋_GB2312" w:cs="Times New Roman"/>
          <w:bCs/>
          <w:color w:val="000000"/>
          <w:kern w:val="2"/>
          <w:sz w:val="32"/>
          <w:szCs w:val="32"/>
          <w:lang w:bidi="ar"/>
        </w:rPr>
        <w:t>根据规</w:t>
      </w:r>
      <w:r>
        <w:rPr>
          <w:rFonts w:hint="eastAsia" w:ascii="Times New Roman" w:hAnsi="Times New Roman" w:eastAsia="仿宋_GB2312" w:cs="Times New Roman"/>
          <w:bCs/>
          <w:sz w:val="32"/>
          <w:szCs w:val="32"/>
        </w:rPr>
        <w:t>划提出的目标和任务，加强经济社会发展政策的统筹协调，注重短期政策与长期政策的衔接配合。</w:t>
      </w:r>
    </w:p>
    <w:p>
      <w:pPr>
        <w:pStyle w:val="2"/>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outlineLvl w:val="1"/>
        <w:rPr>
          <w:rFonts w:hint="eastAsia" w:ascii="楷体_GB2312" w:hAnsi="楷体_GB2312" w:eastAsia="楷体_GB2312" w:cs="楷体_GB2312"/>
          <w:b w:val="0"/>
          <w:bCs/>
          <w:kern w:val="2"/>
          <w:sz w:val="32"/>
        </w:rPr>
      </w:pPr>
      <w:bookmarkStart w:id="4" w:name="_Toc21274"/>
      <w:r>
        <w:rPr>
          <w:rFonts w:hint="eastAsia" w:ascii="仿宋_GB2312" w:hAnsi="华文仿宋" w:eastAsia="仿宋_GB2312" w:cs="华文仿宋"/>
          <w:b/>
          <w:bCs w:val="0"/>
          <w:color w:val="000000"/>
          <w:kern w:val="0"/>
          <w:sz w:val="32"/>
          <w:szCs w:val="32"/>
          <w:lang w:val="en-US" w:eastAsia="zh-CN" w:bidi="ar"/>
        </w:rPr>
        <w:t>（三）强化多元投入</w:t>
      </w:r>
      <w:bookmarkEnd w:id="4"/>
    </w:p>
    <w:p>
      <w:pPr>
        <w:pageBreakBefore w:val="0"/>
        <w:widowControl/>
        <w:kinsoku/>
        <w:wordWrap/>
        <w:overflowPunct/>
        <w:topLinePunct w:val="0"/>
        <w:autoSpaceDE/>
        <w:autoSpaceDN/>
        <w:bidi w:val="0"/>
        <w:adjustRightInd/>
        <w:snapToGrid/>
        <w:spacing w:line="560" w:lineRule="exact"/>
        <w:ind w:firstLine="620" w:firstLineChars="200"/>
        <w:jc w:val="left"/>
        <w:textAlignment w:val="auto"/>
        <w:rPr>
          <w:rFonts w:ascii="仿宋_GB2312" w:hAnsi="仿宋" w:eastAsia="仿宋_GB2312"/>
          <w:bCs/>
          <w:color w:val="000000" w:themeColor="text1"/>
          <w:kern w:val="0"/>
          <w:sz w:val="32"/>
          <w:szCs w:val="32"/>
          <w14:textFill>
            <w14:solidFill>
              <w14:schemeClr w14:val="tx1"/>
            </w14:solidFill>
          </w14:textFill>
        </w:rPr>
      </w:pPr>
      <w:r>
        <w:rPr>
          <w:rFonts w:ascii="仿宋_GB2312" w:hAnsi="宋体" w:eastAsia="仿宋_GB2312" w:cs="仿宋_GB2312"/>
          <w:bCs/>
          <w:color w:val="000000"/>
          <w:kern w:val="0"/>
          <w:sz w:val="31"/>
          <w:szCs w:val="31"/>
          <w:lang w:bidi="ar"/>
        </w:rPr>
        <w:t>建立财政科技投入稳定增长机制，全社</w:t>
      </w:r>
      <w:r>
        <w:rPr>
          <w:rFonts w:hint="eastAsia" w:ascii="仿宋_GB2312" w:hAnsi="宋体" w:eastAsia="仿宋_GB2312" w:cs="仿宋_GB2312"/>
          <w:bCs/>
          <w:color w:val="000000"/>
          <w:kern w:val="0"/>
          <w:sz w:val="31"/>
          <w:szCs w:val="31"/>
          <w:lang w:bidi="ar"/>
        </w:rPr>
        <w:t>会科技经费投入大幅增长，全县财政科技投入年均增长</w:t>
      </w:r>
      <w:r>
        <w:rPr>
          <w:rFonts w:ascii="Times New Roman" w:hAnsi="Times New Roman" w:eastAsia="宋体" w:cs="Times New Roman"/>
          <w:bCs/>
          <w:color w:val="000000"/>
          <w:kern w:val="0"/>
          <w:sz w:val="31"/>
          <w:szCs w:val="31"/>
          <w:lang w:bidi="ar"/>
        </w:rPr>
        <w:t>15%</w:t>
      </w:r>
      <w:r>
        <w:rPr>
          <w:rFonts w:hint="eastAsia" w:ascii="仿宋_GB2312" w:hAnsi="宋体" w:eastAsia="仿宋_GB2312" w:cs="仿宋_GB2312"/>
          <w:bCs/>
          <w:color w:val="000000"/>
          <w:kern w:val="0"/>
          <w:sz w:val="31"/>
          <w:szCs w:val="31"/>
          <w:lang w:bidi="ar"/>
        </w:rPr>
        <w:t>以上，本级财政科技拨款占经常性支出比重达到</w:t>
      </w:r>
      <w:r>
        <w:rPr>
          <w:rFonts w:ascii="Times New Roman" w:hAnsi="Times New Roman" w:eastAsia="宋体" w:cs="Times New Roman"/>
          <w:bCs/>
          <w:color w:val="000000"/>
          <w:kern w:val="0"/>
          <w:sz w:val="31"/>
          <w:szCs w:val="31"/>
          <w:lang w:bidi="ar"/>
        </w:rPr>
        <w:t>6%</w:t>
      </w:r>
      <w:r>
        <w:rPr>
          <w:rFonts w:hint="eastAsia" w:ascii="仿宋_GB2312" w:hAnsi="宋体" w:eastAsia="仿宋_GB2312" w:cs="仿宋_GB2312"/>
          <w:bCs/>
          <w:color w:val="000000"/>
          <w:kern w:val="0"/>
          <w:sz w:val="31"/>
          <w:szCs w:val="31"/>
          <w:lang w:bidi="ar"/>
        </w:rPr>
        <w:t>以上。</w:t>
      </w:r>
    </w:p>
    <w:p>
      <w:pPr>
        <w:pStyle w:val="2"/>
        <w:pageBreakBefore w:val="0"/>
        <w:widowControl/>
        <w:kinsoku/>
        <w:wordWrap/>
        <w:overflowPunct/>
        <w:topLinePunct w:val="0"/>
        <w:autoSpaceDE/>
        <w:autoSpaceDN/>
        <w:bidi w:val="0"/>
        <w:adjustRightInd/>
        <w:snapToGrid/>
        <w:spacing w:before="0" w:after="0" w:line="560" w:lineRule="exact"/>
        <w:ind w:firstLine="643" w:firstLineChars="200"/>
        <w:textAlignment w:val="auto"/>
        <w:outlineLvl w:val="1"/>
        <w:rPr>
          <w:rFonts w:hint="eastAsia" w:ascii="楷体_GB2312" w:hAnsi="楷体_GB2312" w:eastAsia="楷体_GB2312" w:cs="楷体_GB2312"/>
          <w:b w:val="0"/>
          <w:bCs/>
          <w:sz w:val="32"/>
          <w:szCs w:val="24"/>
        </w:rPr>
      </w:pPr>
      <w:bookmarkStart w:id="5" w:name="_Toc5712"/>
      <w:r>
        <w:rPr>
          <w:rFonts w:hint="eastAsia" w:ascii="仿宋_GB2312" w:hAnsi="华文仿宋" w:eastAsia="仿宋_GB2312" w:cs="华文仿宋"/>
          <w:b/>
          <w:bCs w:val="0"/>
          <w:color w:val="000000"/>
          <w:kern w:val="0"/>
          <w:sz w:val="32"/>
          <w:szCs w:val="32"/>
          <w:lang w:val="en-US" w:eastAsia="zh-CN" w:bidi="ar"/>
        </w:rPr>
        <w:t>（四）强化考核评价</w:t>
      </w:r>
      <w:bookmarkEnd w:id="5"/>
    </w:p>
    <w:p>
      <w:pPr>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
          <w:bCs/>
          <w:kern w:val="0"/>
          <w:sz w:val="32"/>
          <w:szCs w:val="32"/>
        </w:rPr>
      </w:pPr>
      <w:r>
        <w:rPr>
          <w:rFonts w:hint="eastAsia" w:ascii="仿宋_GB2312" w:hAnsi="仿宋" w:eastAsia="仿宋_GB2312"/>
          <w:bCs/>
          <w:color w:val="000000" w:themeColor="text1"/>
          <w:kern w:val="0"/>
          <w:sz w:val="32"/>
          <w:szCs w:val="32"/>
          <w14:textFill>
            <w14:solidFill>
              <w14:schemeClr w14:val="tx1"/>
            </w14:solidFill>
          </w14:textFill>
        </w:rPr>
        <w:t>构建以创新投入、创新产出、自主创新能力、人才贡献、成果转化率等要素相结合的创新发展考评体系，建立合理、优化、完善的考评指标。</w:t>
      </w:r>
    </w:p>
    <w:p>
      <w:pPr>
        <w:pageBreakBefore w:val="0"/>
        <w:widowControl/>
        <w:kinsoku/>
        <w:wordWrap/>
        <w:overflowPunct/>
        <w:topLinePunct w:val="0"/>
        <w:autoSpaceDE/>
        <w:autoSpaceDN/>
        <w:bidi w:val="0"/>
        <w:adjustRightInd/>
        <w:snapToGrid/>
        <w:spacing w:line="560" w:lineRule="exact"/>
        <w:ind w:firstLine="643" w:firstLineChars="200"/>
        <w:textAlignment w:val="auto"/>
        <w:outlineLvl w:val="1"/>
        <w:rPr>
          <w:rFonts w:hint="eastAsia" w:ascii="楷体_GB2312" w:hAnsi="楷体_GB2312" w:eastAsia="楷体_GB2312" w:cs="楷体_GB2312"/>
          <w:b w:val="0"/>
          <w:bCs/>
          <w:sz w:val="32"/>
          <w:szCs w:val="24"/>
        </w:rPr>
      </w:pPr>
      <w:r>
        <w:rPr>
          <w:rFonts w:hint="eastAsia" w:ascii="仿宋_GB2312" w:hAnsi="华文仿宋" w:eastAsia="仿宋_GB2312" w:cs="华文仿宋"/>
          <w:b/>
          <w:bCs w:val="0"/>
          <w:color w:val="000000"/>
          <w:kern w:val="0"/>
          <w:sz w:val="32"/>
          <w:szCs w:val="32"/>
          <w:lang w:val="en-US" w:eastAsia="zh-CN" w:bidi="ar"/>
        </w:rPr>
        <w:t>（五）培育创新文化</w:t>
      </w:r>
    </w:p>
    <w:p>
      <w:pPr>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kern w:val="0"/>
          <w:sz w:val="32"/>
          <w:szCs w:val="32"/>
          <w:lang w:val="en-US" w:eastAsia="zh-CN"/>
        </w:rPr>
      </w:pPr>
      <w:r>
        <w:rPr>
          <w:rFonts w:eastAsia="仿宋_GB2312"/>
          <w:sz w:val="32"/>
        </w:rPr>
        <w:t>进一步弘扬科学家精神，尊重科研规律，激发家国情怀，激励引导广大科技人员追求真理、勇攀高峰。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569062-DF7F-4B07-927D-F18A5A0EA633}"/>
  </w:font>
  <w:font w:name="Arial">
    <w:panose1 w:val="020B0604020202020204"/>
    <w:charset w:val="01"/>
    <w:family w:val="swiss"/>
    <w:pitch w:val="default"/>
    <w:sig w:usb0="E0002EFF" w:usb1="C000785B" w:usb2="00000009" w:usb3="00000000" w:csb0="400001FF" w:csb1="FFFF0000"/>
    <w:embedRegular r:id="rId2" w:fontKey="{E0892948-343E-42E0-81B0-F77F8F9DC47C}"/>
  </w:font>
  <w:font w:name="黑体">
    <w:panose1 w:val="02010609060101010101"/>
    <w:charset w:val="86"/>
    <w:family w:val="auto"/>
    <w:pitch w:val="default"/>
    <w:sig w:usb0="800002BF" w:usb1="38CF7CFA" w:usb2="00000016" w:usb3="00000000" w:csb0="00040001" w:csb1="00000000"/>
    <w:embedRegular r:id="rId3" w:fontKey="{70BD4D48-F1C7-4079-B432-D65757BF0CBA}"/>
  </w:font>
  <w:font w:name="Courier New">
    <w:panose1 w:val="02070309020205020404"/>
    <w:charset w:val="01"/>
    <w:family w:val="modern"/>
    <w:pitch w:val="default"/>
    <w:sig w:usb0="E0002EFF" w:usb1="C0007843" w:usb2="00000009" w:usb3="00000000" w:csb0="400001FF" w:csb1="FFFF0000"/>
    <w:embedRegular r:id="rId4" w:fontKey="{3B3CF695-DCE2-4E6B-A725-D7200818751A}"/>
  </w:font>
  <w:font w:name="Symbol">
    <w:panose1 w:val="05050102010706020507"/>
    <w:charset w:val="02"/>
    <w:family w:val="roman"/>
    <w:pitch w:val="default"/>
    <w:sig w:usb0="00000000" w:usb1="00000000" w:usb2="00000000" w:usb3="00000000" w:csb0="80000000" w:csb1="00000000"/>
    <w:embedRegular r:id="rId5" w:fontKey="{229B3151-F868-452D-9DC5-867A411FD84D}"/>
  </w:font>
  <w:font w:name="Calibri">
    <w:panose1 w:val="020F0502020204030204"/>
    <w:charset w:val="00"/>
    <w:family w:val="swiss"/>
    <w:pitch w:val="default"/>
    <w:sig w:usb0="E4002EFF" w:usb1="C000247B" w:usb2="00000009" w:usb3="00000000" w:csb0="200001FF" w:csb1="00000000"/>
    <w:embedRegular r:id="rId6" w:fontKey="{14084989-1DB3-4E14-97E1-2DC75E752204}"/>
  </w:font>
  <w:font w:name="Cambria">
    <w:panose1 w:val="02040503050406030204"/>
    <w:charset w:val="00"/>
    <w:family w:val="roman"/>
    <w:pitch w:val="default"/>
    <w:sig w:usb0="E00006FF" w:usb1="420024FF" w:usb2="02000000" w:usb3="00000000" w:csb0="2000019F" w:csb1="00000000"/>
    <w:embedRegular r:id="rId7" w:fontKey="{D24C2941-4E4A-415D-8257-B8A42511517D}"/>
  </w:font>
  <w:font w:name="仿宋_GB2312">
    <w:panose1 w:val="02010609030101010101"/>
    <w:charset w:val="86"/>
    <w:family w:val="modern"/>
    <w:pitch w:val="default"/>
    <w:sig w:usb0="00000000" w:usb1="00000000" w:usb2="00000000" w:usb3="00000000" w:csb0="00000000" w:csb1="00000000"/>
    <w:embedRegular r:id="rId8" w:fontKey="{FCAD075C-A027-43E5-B3A1-0B381A47E67E}"/>
  </w:font>
  <w:font w:name="仿宋_GB2312">
    <w:panose1 w:val="02010609030101010101"/>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9" w:fontKey="{462F3B9B-A6D3-423B-A970-EE5251662F15}"/>
  </w:font>
  <w:font w:name="楷体_GB2312">
    <w:panose1 w:val="02010609030101010101"/>
    <w:charset w:val="86"/>
    <w:family w:val="modern"/>
    <w:pitch w:val="default"/>
    <w:sig w:usb0="00000000" w:usb1="00000000" w:usb2="00000000" w:usb3="00000000" w:csb0="00000000" w:csb1="00000000"/>
    <w:embedRegular r:id="rId10" w:fontKey="{946E5A6A-F4F8-4F5A-8273-1463BD4CAA75}"/>
  </w:font>
  <w:font w:name="华文仿宋">
    <w:panose1 w:val="02010600040101010101"/>
    <w:charset w:val="86"/>
    <w:family w:val="auto"/>
    <w:pitch w:val="default"/>
    <w:sig w:usb0="00000000" w:usb1="00000000" w:usb2="00000000" w:usb3="00000000" w:csb0="00000000" w:csb1="00000000"/>
    <w:embedRegular r:id="rId11" w:fontKey="{6235C777-7D9B-4CB8-8A5A-C9E7C82ED741}"/>
  </w:font>
  <w:font w:name="方正小标宋_GBK">
    <w:panose1 w:val="02000000000000000000"/>
    <w:charset w:val="86"/>
    <w:family w:val="auto"/>
    <w:pitch w:val="default"/>
    <w:sig w:usb0="A00002BF" w:usb1="38CF7CFA" w:usb2="00082016" w:usb3="00000000" w:csb0="00040001" w:csb1="00000000"/>
    <w:embedRegular r:id="rId12" w:fontKey="{C0C81A82-8823-4985-A2AA-78895321D85A}"/>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918266"/>
    <w:multiLevelType w:val="singleLevel"/>
    <w:tmpl w:val="9E91826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9A6637"/>
    <w:rsid w:val="7B9A6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Autospacing="1" w:afterAutospacing="1"/>
      <w:jc w:val="left"/>
    </w:pPr>
    <w:rPr>
      <w:rFonts w:cs="Times New Roman"/>
      <w:kern w:val="0"/>
      <w:sz w:val="24"/>
    </w:rPr>
  </w:style>
  <w:style w:type="paragraph" w:styleId="5">
    <w:name w:val="Title"/>
    <w:basedOn w:val="1"/>
    <w:next w:val="1"/>
    <w:qFormat/>
    <w:uiPriority w:val="0"/>
    <w:pPr>
      <w:autoSpaceDE w:val="0"/>
      <w:autoSpaceDN w:val="0"/>
      <w:adjustRightInd w:val="0"/>
      <w:spacing w:before="240" w:after="60"/>
      <w:jc w:val="center"/>
      <w:outlineLvl w:val="0"/>
    </w:pPr>
    <w:rPr>
      <w:rFonts w:ascii="Cambria" w:hAnsi="Cambria"/>
      <w:b/>
      <w:color w:val="000000"/>
      <w:kern w:val="0"/>
      <w:sz w:val="32"/>
      <w:szCs w:val="32"/>
    </w:rPr>
  </w:style>
  <w:style w:type="character" w:styleId="8">
    <w:name w:val="Strong"/>
    <w:basedOn w:val="7"/>
    <w:qFormat/>
    <w:uiPriority w:val="99"/>
    <w:rPr>
      <w:rFonts w:cs="Times New Roman"/>
      <w:b/>
      <w:bCs/>
    </w:rPr>
  </w:style>
  <w:style w:type="paragraph" w:customStyle="1" w:styleId="9">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2021-08-18T12:42:00Z</dcterms:created>
  <dc:creator>呆蛙</dc:creator>
  <cp:lastModifiedBy>呆蛙</cp:lastModifiedBy>
  <dcterms:modified xsi:type="dcterms:W3CDTF">2021-08-18T13:11:04Z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1596288_embed</vt:lpwstr>
  </property>
</Properties>
</file>