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320"/>
        <w:rPr>
          <w:rFonts w:ascii="Times New Roman" w:hAnsi="Times New Roman"/>
          <w:kern w:val="2"/>
          <w:lang w:bidi="ar"/>
        </w:rPr>
      </w:pPr>
      <w:bookmarkStart w:id="0" w:name="_GoBack"/>
      <w:r>
        <w:rPr>
          <w:rFonts w:hint="eastAsia" w:ascii="仿宋" w:hAnsi="仿宋" w:eastAsia="仿宋"/>
          <w:kern w:val="2"/>
          <w:lang w:val="en-US" w:bidi="ar"/>
        </w:rPr>
        <w:t>附件1</w:t>
      </w:r>
      <w:bookmarkEnd w:id="0"/>
      <w:r>
        <w:rPr>
          <w:rFonts w:hint="eastAsia" w:ascii="仿宋" w:hAnsi="仿宋" w:eastAsia="仿宋"/>
          <w:kern w:val="2"/>
          <w:lang w:val="en-US" w:bidi="ar"/>
        </w:rPr>
        <w:t xml:space="preserve">： </w:t>
      </w:r>
      <w:r>
        <w:rPr>
          <w:rFonts w:hint="eastAsia" w:ascii="Times New Roman" w:hAnsi="Times New Roman"/>
          <w:kern w:val="2"/>
          <w:lang w:val="en-US" w:bidi="ar"/>
        </w:rPr>
        <w:t xml:space="preserve">        </w:t>
      </w:r>
      <w:r>
        <w:rPr>
          <w:rFonts w:hint="eastAsia" w:ascii="方正小标宋简体" w:hAnsi="Times New Roman" w:eastAsia="方正小标宋简体"/>
          <w:kern w:val="2"/>
          <w:sz w:val="36"/>
          <w:szCs w:val="36"/>
          <w:lang w:bidi="ar"/>
        </w:rPr>
        <w:t>永嘉县城乡居民健康体检项目工作绩效评价细则（试行）</w:t>
      </w:r>
    </w:p>
    <w:tbl>
      <w:tblPr>
        <w:tblStyle w:val="5"/>
        <w:tblW w:w="13852" w:type="dxa"/>
        <w:tblInd w:w="93" w:type="dxa"/>
        <w:tblLayout w:type="fixed"/>
        <w:tblCellMar>
          <w:top w:w="0" w:type="dxa"/>
          <w:left w:w="108" w:type="dxa"/>
          <w:bottom w:w="0" w:type="dxa"/>
          <w:right w:w="108" w:type="dxa"/>
        </w:tblCellMar>
      </w:tblPr>
      <w:tblGrid>
        <w:gridCol w:w="1012"/>
        <w:gridCol w:w="1380"/>
        <w:gridCol w:w="2685"/>
        <w:gridCol w:w="8121"/>
        <w:gridCol w:w="654"/>
      </w:tblGrid>
      <w:tr>
        <w:tblPrEx>
          <w:tblCellMar>
            <w:top w:w="0" w:type="dxa"/>
            <w:left w:w="108" w:type="dxa"/>
            <w:bottom w:w="0" w:type="dxa"/>
            <w:right w:w="108" w:type="dxa"/>
          </w:tblCellMar>
        </w:tblPrEx>
        <w:trPr>
          <w:trHeight w:val="320" w:hRule="atLeast"/>
        </w:trPr>
        <w:tc>
          <w:tcPr>
            <w:tcW w:w="239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bCs/>
                <w:color w:val="000000"/>
                <w:sz w:val="16"/>
                <w:szCs w:val="16"/>
              </w:rPr>
            </w:pPr>
            <w:r>
              <w:rPr>
                <w:rFonts w:hint="eastAsia" w:ascii="宋体" w:hAnsi="宋体" w:cs="宋体"/>
                <w:b/>
                <w:bCs/>
                <w:color w:val="000000"/>
                <w:sz w:val="16"/>
                <w:szCs w:val="16"/>
                <w:lang w:bidi="ar"/>
              </w:rPr>
              <w:t>考核指标</w:t>
            </w:r>
          </w:p>
        </w:tc>
        <w:tc>
          <w:tcPr>
            <w:tcW w:w="2685"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bCs/>
                <w:color w:val="000000"/>
                <w:sz w:val="16"/>
                <w:szCs w:val="16"/>
              </w:rPr>
            </w:pPr>
            <w:r>
              <w:rPr>
                <w:rFonts w:hint="eastAsia" w:ascii="宋体" w:hAnsi="宋体" w:cs="宋体"/>
                <w:b/>
                <w:bCs/>
                <w:color w:val="000000"/>
                <w:sz w:val="16"/>
                <w:szCs w:val="16"/>
                <w:lang w:bidi="ar"/>
              </w:rPr>
              <w:t>主要目标任务</w:t>
            </w:r>
          </w:p>
        </w:tc>
        <w:tc>
          <w:tcPr>
            <w:tcW w:w="812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bCs/>
                <w:color w:val="000000"/>
                <w:sz w:val="16"/>
                <w:szCs w:val="16"/>
              </w:rPr>
            </w:pPr>
            <w:r>
              <w:rPr>
                <w:rFonts w:hint="eastAsia" w:ascii="宋体" w:hAnsi="宋体" w:cs="宋体"/>
                <w:b/>
                <w:bCs/>
                <w:color w:val="000000"/>
                <w:sz w:val="16"/>
                <w:szCs w:val="16"/>
                <w:lang w:bidi="ar"/>
              </w:rPr>
              <w:t>考核内容</w:t>
            </w:r>
          </w:p>
        </w:tc>
        <w:tc>
          <w:tcPr>
            <w:tcW w:w="654"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bCs/>
                <w:color w:val="000000"/>
                <w:sz w:val="16"/>
                <w:szCs w:val="16"/>
              </w:rPr>
            </w:pPr>
            <w:r>
              <w:rPr>
                <w:rFonts w:hint="eastAsia" w:ascii="宋体" w:hAnsi="宋体" w:cs="宋体"/>
                <w:b/>
                <w:bCs/>
                <w:color w:val="000000"/>
                <w:sz w:val="16"/>
                <w:szCs w:val="16"/>
                <w:lang w:bidi="ar"/>
              </w:rPr>
              <w:t>分值</w:t>
            </w:r>
          </w:p>
        </w:tc>
      </w:tr>
      <w:tr>
        <w:tblPrEx>
          <w:tblCellMar>
            <w:top w:w="0" w:type="dxa"/>
            <w:left w:w="108" w:type="dxa"/>
            <w:bottom w:w="0" w:type="dxa"/>
            <w:right w:w="108" w:type="dxa"/>
          </w:tblCellMar>
        </w:tblPrEx>
        <w:trPr>
          <w:trHeight w:val="85" w:hRule="atLeast"/>
        </w:trPr>
        <w:tc>
          <w:tcPr>
            <w:tcW w:w="101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bCs/>
                <w:color w:val="000000"/>
                <w:sz w:val="16"/>
                <w:szCs w:val="16"/>
              </w:rPr>
            </w:pPr>
            <w:r>
              <w:rPr>
                <w:rFonts w:hint="eastAsia" w:ascii="宋体" w:hAnsi="宋体" w:cs="宋体"/>
                <w:b/>
                <w:bCs/>
                <w:color w:val="000000"/>
                <w:sz w:val="16"/>
                <w:szCs w:val="16"/>
                <w:lang w:bidi="ar"/>
              </w:rPr>
              <w:t>一类指标</w:t>
            </w:r>
          </w:p>
        </w:tc>
        <w:tc>
          <w:tcPr>
            <w:tcW w:w="138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b/>
                <w:bCs/>
                <w:color w:val="000000"/>
                <w:sz w:val="16"/>
                <w:szCs w:val="16"/>
              </w:rPr>
            </w:pPr>
            <w:r>
              <w:rPr>
                <w:rFonts w:hint="eastAsia" w:ascii="宋体" w:hAnsi="宋体" w:cs="宋体"/>
                <w:b/>
                <w:bCs/>
                <w:color w:val="000000"/>
                <w:sz w:val="16"/>
                <w:szCs w:val="16"/>
                <w:lang w:bidi="ar"/>
              </w:rPr>
              <w:t>二类指标</w:t>
            </w:r>
          </w:p>
        </w:tc>
        <w:tc>
          <w:tcPr>
            <w:tcW w:w="268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16"/>
                <w:szCs w:val="16"/>
              </w:rPr>
            </w:pPr>
          </w:p>
        </w:tc>
        <w:tc>
          <w:tcPr>
            <w:tcW w:w="812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16"/>
                <w:szCs w:val="16"/>
              </w:rPr>
            </w:pPr>
          </w:p>
        </w:tc>
        <w:tc>
          <w:tcPr>
            <w:tcW w:w="65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b/>
                <w:bCs/>
                <w:color w:val="000000"/>
                <w:sz w:val="16"/>
                <w:szCs w:val="16"/>
              </w:rPr>
            </w:pPr>
          </w:p>
        </w:tc>
      </w:tr>
      <w:tr>
        <w:tblPrEx>
          <w:tblCellMar>
            <w:top w:w="0" w:type="dxa"/>
            <w:left w:w="108" w:type="dxa"/>
            <w:bottom w:w="0" w:type="dxa"/>
            <w:right w:w="108" w:type="dxa"/>
          </w:tblCellMar>
        </w:tblPrEx>
        <w:trPr>
          <w:trHeight w:val="535" w:hRule="atLeast"/>
        </w:trPr>
        <w:tc>
          <w:tcPr>
            <w:tcW w:w="101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组织管理</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组织机构</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明确组织架构、工作职责、流程</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组织架构不合理、规章内容不完整、不合理、职责不清，制度不完善、流程不合理酌情扣分；</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10</w:t>
            </w:r>
          </w:p>
        </w:tc>
      </w:tr>
      <w:tr>
        <w:tblPrEx>
          <w:tblCellMar>
            <w:top w:w="0" w:type="dxa"/>
            <w:left w:w="108" w:type="dxa"/>
            <w:bottom w:w="0" w:type="dxa"/>
            <w:right w:w="108" w:type="dxa"/>
          </w:tblCellMar>
        </w:tblPrEx>
        <w:trPr>
          <w:trHeight w:val="775"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质量改进</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持续改进体检质量</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定期组织相关人员对体检存在的问题进行总结分析，对上级反馈的问题及时整改，持续改进体检质量、对体检投诉进行追踪管理，没有对体检存在问题进行总结分析的不得分，对上级反馈的问题没有及时整改或制定可行整改计划的不得分。</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w:t>
            </w:r>
          </w:p>
        </w:tc>
      </w:tr>
      <w:tr>
        <w:tblPrEx>
          <w:tblCellMar>
            <w:top w:w="0" w:type="dxa"/>
            <w:left w:w="108" w:type="dxa"/>
            <w:bottom w:w="0" w:type="dxa"/>
            <w:right w:w="108" w:type="dxa"/>
          </w:tblCellMar>
        </w:tblPrEx>
        <w:trPr>
          <w:trHeight w:val="515"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学习培训</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加强培训学习</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积极参加上级部门组织的业务培训，不按要求参加培训学习不得分；单位内部定期组织人员开展体检业务培训，无培训不得分，培训率低于95%的每降低5%扣1分，培训效果不理想，酌情扣分。</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w:t>
            </w:r>
          </w:p>
        </w:tc>
      </w:tr>
      <w:tr>
        <w:tblPrEx>
          <w:tblCellMar>
            <w:top w:w="0" w:type="dxa"/>
            <w:left w:w="108" w:type="dxa"/>
            <w:bottom w:w="0" w:type="dxa"/>
            <w:right w:w="108" w:type="dxa"/>
          </w:tblCellMar>
        </w:tblPrEx>
        <w:trPr>
          <w:trHeight w:val="585" w:hRule="atLeast"/>
        </w:trPr>
        <w:tc>
          <w:tcPr>
            <w:tcW w:w="101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项目执行</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体检项目</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体检项目完整</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套餐项目设置符合要求，体检项目完整率达90%以上，体检项目完整率在90%以下的每降低1%扣1分，扣完为止。</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20</w:t>
            </w:r>
          </w:p>
        </w:tc>
      </w:tr>
      <w:tr>
        <w:tblPrEx>
          <w:tblCellMar>
            <w:top w:w="0" w:type="dxa"/>
            <w:left w:w="108" w:type="dxa"/>
            <w:bottom w:w="0" w:type="dxa"/>
            <w:right w:w="108" w:type="dxa"/>
          </w:tblCellMar>
        </w:tblPrEx>
        <w:trPr>
          <w:trHeight w:val="705"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质量管理</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制定体检操作标准、操作规程</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1、制定各体检项目（科室）体检操作标准、操作规程，严格按照操作标准、操作规程完成健康体检工作，无操作标准、操作规程不得分；2、对无发生不得分情形的体检单位按体检项目质控结果的百分比折合计分。</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20</w:t>
            </w:r>
          </w:p>
        </w:tc>
      </w:tr>
      <w:tr>
        <w:tblPrEx>
          <w:tblCellMar>
            <w:top w:w="0" w:type="dxa"/>
            <w:left w:w="108" w:type="dxa"/>
            <w:bottom w:w="0" w:type="dxa"/>
            <w:right w:w="108" w:type="dxa"/>
          </w:tblCellMar>
        </w:tblPrEx>
        <w:trPr>
          <w:trHeight w:val="700"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仪器设备</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仪器设备保养、维护、校正</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1、建立完善体检仪器设备使用、维修、保养制度，定期对体检仪器设备进行保养、维护、校正，检验设备定期做好质控，无相关制度、记录酌情扣分；2、按设备管理项目质控结果的百分比折合计分。</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10</w:t>
            </w:r>
          </w:p>
        </w:tc>
      </w:tr>
      <w:tr>
        <w:tblPrEx>
          <w:tblCellMar>
            <w:top w:w="0" w:type="dxa"/>
            <w:left w:w="108" w:type="dxa"/>
            <w:bottom w:w="0" w:type="dxa"/>
            <w:right w:w="108" w:type="dxa"/>
          </w:tblCellMar>
        </w:tblPrEx>
        <w:trPr>
          <w:trHeight w:val="501"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人员配置</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人员配备合理</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主检人员要求为中级以上专业技术职称、体检组人员取得相应资格资质，发现体检人员一人不符合资质要求的扣5分，扣完为止。</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10</w:t>
            </w:r>
          </w:p>
        </w:tc>
      </w:tr>
      <w:tr>
        <w:tblPrEx>
          <w:tblCellMar>
            <w:top w:w="0" w:type="dxa"/>
            <w:left w:w="108" w:type="dxa"/>
            <w:bottom w:w="0" w:type="dxa"/>
            <w:right w:w="108" w:type="dxa"/>
          </w:tblCellMar>
        </w:tblPrEx>
        <w:trPr>
          <w:trHeight w:val="800"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结果反馈</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及时报告体检结果</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体检报告管理规范，体检后一个月内向受检对象反馈体检结果（危急值的要按照危急值报告制度及时报告、反馈），领取体检报告时为体检对象提供一对一的个性健康教育（因体检对象不能当面领取的可通过电话方式进行个性健康教育、提示），体检结果反馈不及时的不得分。</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w:t>
            </w:r>
          </w:p>
        </w:tc>
      </w:tr>
      <w:tr>
        <w:tblPrEx>
          <w:tblCellMar>
            <w:top w:w="0" w:type="dxa"/>
            <w:left w:w="108" w:type="dxa"/>
            <w:bottom w:w="0" w:type="dxa"/>
            <w:right w:w="108" w:type="dxa"/>
          </w:tblCellMar>
        </w:tblPrEx>
        <w:trPr>
          <w:trHeight w:val="473" w:hRule="atLeast"/>
        </w:trPr>
        <w:tc>
          <w:tcPr>
            <w:tcW w:w="1012"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实施效果</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满意度</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群众满意</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体检对象满意度达85%以上，在基本公共卫生服务考核时对体检对象进行满意度调查，达不到85%的按比例扣分；发现1例体检不真实的，本项不得分，按比例核减体检总人数并按情形追究相关人员责任。</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w:t>
            </w:r>
          </w:p>
        </w:tc>
      </w:tr>
      <w:tr>
        <w:tblPrEx>
          <w:tblCellMar>
            <w:top w:w="0" w:type="dxa"/>
            <w:left w:w="108" w:type="dxa"/>
            <w:bottom w:w="0" w:type="dxa"/>
            <w:right w:w="108" w:type="dxa"/>
          </w:tblCellMar>
        </w:tblPrEx>
        <w:trPr>
          <w:trHeight w:val="590"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健康管理</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早发现、早诊断、早治疗</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对体检发现的问题纳入公共卫生服务管理，定期随访、跟踪服务、动态管理，随机抽取20名慢病对象，发现一人未纳入公共卫生服务管理的扣1分，可倒扣；</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w:t>
            </w:r>
          </w:p>
        </w:tc>
      </w:tr>
      <w:tr>
        <w:tblPrEx>
          <w:tblCellMar>
            <w:top w:w="0" w:type="dxa"/>
            <w:left w:w="108" w:type="dxa"/>
            <w:bottom w:w="0" w:type="dxa"/>
            <w:right w:w="108" w:type="dxa"/>
          </w:tblCellMar>
        </w:tblPrEx>
        <w:trPr>
          <w:trHeight w:val="285" w:hRule="atLeast"/>
        </w:trPr>
        <w:tc>
          <w:tcPr>
            <w:tcW w:w="10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18"/>
                <w:szCs w:val="18"/>
              </w:rPr>
            </w:pPr>
          </w:p>
        </w:tc>
        <w:tc>
          <w:tcPr>
            <w:tcW w:w="138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信息管理</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rPr>
            </w:pPr>
            <w:r>
              <w:rPr>
                <w:rFonts w:hint="eastAsia" w:ascii="宋体" w:hAnsi="宋体" w:cs="宋体"/>
                <w:color w:val="000000"/>
                <w:sz w:val="18"/>
                <w:szCs w:val="18"/>
                <w:lang w:bidi="ar"/>
              </w:rPr>
              <w:t>档案信息管理</w:t>
            </w: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textAlignment w:val="center"/>
              <w:rPr>
                <w:rFonts w:ascii="宋体" w:hAnsi="宋体" w:cs="宋体"/>
                <w:color w:val="000000"/>
                <w:sz w:val="18"/>
                <w:szCs w:val="18"/>
                <w:lang w:bidi="ar"/>
              </w:rPr>
            </w:pPr>
            <w:r>
              <w:rPr>
                <w:rFonts w:hint="eastAsia" w:ascii="宋体" w:hAnsi="宋体" w:cs="宋体"/>
                <w:color w:val="000000"/>
                <w:sz w:val="18"/>
                <w:szCs w:val="18"/>
                <w:lang w:bidi="ar"/>
              </w:rPr>
              <w:t>体检结果信息档案及时上传市平台、纳入健康档案管理，可提供以后体检查阅、对比，有针对性的开展健康促进，达不到考核要求酌情扣1-5分；加强区域健康体检提档升级，强化心电图、超声和胸片等检验检查信息化、数字化改造，做好数据联网存档、及时上报各项报表、佐证资料，对体检数据丢失、不及时填报各项报表、佐证资料的酌情扣1-5分并追究相应责任。</w:t>
            </w: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5</w:t>
            </w:r>
          </w:p>
        </w:tc>
      </w:tr>
      <w:tr>
        <w:tblPrEx>
          <w:tblCellMar>
            <w:top w:w="0" w:type="dxa"/>
            <w:left w:w="108" w:type="dxa"/>
            <w:bottom w:w="0" w:type="dxa"/>
            <w:right w:w="108" w:type="dxa"/>
          </w:tblCellMar>
        </w:tblPrEx>
        <w:trPr>
          <w:trHeight w:val="465" w:hRule="atLeast"/>
        </w:trPr>
        <w:tc>
          <w:tcPr>
            <w:tcW w:w="1012"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合计</w:t>
            </w:r>
          </w:p>
        </w:tc>
        <w:tc>
          <w:tcPr>
            <w:tcW w:w="1380" w:type="dxa"/>
            <w:tcBorders>
              <w:top w:val="single" w:color="000000" w:sz="4" w:space="0"/>
              <w:left w:val="single" w:color="000000" w:sz="4" w:space="0"/>
              <w:bottom w:val="single" w:color="000000" w:sz="4" w:space="0"/>
              <w:right w:val="single" w:color="000000" w:sz="4" w:space="0"/>
            </w:tcBorders>
            <w:noWrap/>
            <w:vAlign w:val="bottom"/>
          </w:tcPr>
          <w:p>
            <w:pPr>
              <w:jc w:val="center"/>
              <w:rPr>
                <w:rFonts w:ascii="宋体" w:hAnsi="宋体" w:cs="宋体"/>
                <w:color w:val="000000"/>
                <w:sz w:val="18"/>
                <w:szCs w:val="18"/>
              </w:rPr>
            </w:pP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18"/>
                <w:szCs w:val="18"/>
              </w:rPr>
            </w:pPr>
          </w:p>
        </w:tc>
        <w:tc>
          <w:tcPr>
            <w:tcW w:w="8121"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s="宋体"/>
                <w:color w:val="000000"/>
                <w:sz w:val="18"/>
                <w:szCs w:val="18"/>
              </w:rPr>
            </w:pPr>
          </w:p>
        </w:tc>
        <w:tc>
          <w:tcPr>
            <w:tcW w:w="65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lang w:bidi="ar"/>
              </w:rPr>
              <w:t>100</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4FF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before="11"/>
      <w:ind w:left="264"/>
    </w:pPr>
    <w:rPr>
      <w:rFonts w:ascii="仿宋_GB2312" w:hAnsi="仿宋_GB2312" w:eastAsia="仿宋_GB2312" w:cs="仿宋_GB2312"/>
      <w:sz w:val="32"/>
      <w:szCs w:val="32"/>
      <w:lang w:val="zh-CN" w:eastAsia="zh-CN" w:bidi="zh-CN"/>
    </w:rPr>
  </w:style>
  <w:style w:type="paragraph" w:styleId="4">
    <w:name w:val="footer"/>
    <w:basedOn w:val="1"/>
    <w:uiPriority w:val="99"/>
    <w:pPr>
      <w:tabs>
        <w:tab w:val="center" w:pos="4153"/>
        <w:tab w:val="right" w:pos="8306"/>
      </w:tabs>
    </w:pPr>
    <w:rPr>
      <w:rFonts w:ascii="Calibri" w:hAnsi="Calibri" w:eastAsia="宋体" w:cs="Times New Roman"/>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2022-03-30T06:36:54Z</dcterms:created>
  <dc:creator>Administrator</dc:creator>
  <cp:lastModifiedBy>WPS_1537495301</cp:lastModifiedBy>
  <dcterms:modified xsi:type="dcterms:W3CDTF">2022-03-30T06:37:20Z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EBB4AE675E5446ABA002785F6F5B8ADA</vt:lpwstr>
  </property>
</Properties>
</file>