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Times New Roman" w:eastAsia="黑体"/>
          <w:bCs/>
          <w:sz w:val="32"/>
          <w:szCs w:val="32"/>
        </w:rPr>
      </w:pPr>
      <w:r>
        <w:rPr>
          <w:rFonts w:hint="eastAsia" w:ascii="黑体" w:hAnsi="Times New Roman" w:eastAsia="黑体"/>
          <w:bCs/>
          <w:sz w:val="32"/>
          <w:szCs w:val="32"/>
        </w:rPr>
        <w:t>附件2</w:t>
      </w:r>
    </w:p>
    <w:p>
      <w:pPr>
        <w:spacing w:line="6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合用场所消防安全检查记录表</w:t>
      </w:r>
    </w:p>
    <w:bookmarkEnd w:id="0"/>
    <w:p>
      <w:pPr>
        <w:tabs>
          <w:tab w:val="left" w:pos="5040"/>
        </w:tabs>
        <w:spacing w:line="380" w:lineRule="exac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县（市、区）：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28"/>
          <w:szCs w:val="28"/>
        </w:rPr>
        <w:t>地址：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         </w:t>
      </w:r>
    </w:p>
    <w:p>
      <w:pPr>
        <w:tabs>
          <w:tab w:val="left" w:pos="5040"/>
        </w:tabs>
        <w:spacing w:line="380" w:lineRule="exac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场所名称：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检查人：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检查时间：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58"/>
        <w:gridCol w:w="354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否</w:t>
            </w:r>
          </w:p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决</w:t>
            </w:r>
          </w:p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项</w:t>
            </w:r>
          </w:p>
        </w:tc>
        <w:tc>
          <w:tcPr>
            <w:tcW w:w="821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易燃易爆物品的生产、储存、经营场所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（包括危化品、燃气油料及烟花爆竹等）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有人员居住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生产、储存、经营场所与居住部分未采用实体墙和楼板进行分隔或分隔不到位；确需开门，未采用防火门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合用场所的生活区域未设置独立的疏散楼梯，安全出口不能直通室外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疏散不独立的合用场所整治提升不到位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扣</w:t>
            </w:r>
          </w:p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分</w:t>
            </w:r>
          </w:p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项</w:t>
            </w: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电气线路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（4分）</w:t>
            </w: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室内电气线路未套管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(阻燃)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保护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（情形严重扣2分，轻微扣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5分）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严重□    轻微□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未安装带有漏电保护装置的空气开关扣2分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设施配备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.5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未配备以下设施，每项扣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灭火器□  应急照明灯□  </w:t>
            </w:r>
          </w:p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防火门闭门器□  防火门“常闭”标识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“四色”消防安全告示牌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生产加工、储存可燃物品的合用场所未配备以下设施，每项扣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智能感烟报警器□     水喉□     简易喷淋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自行车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管理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2.5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违反用电安全要求私拉电线和插座给电动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车充电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扣1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                                 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在室内违规停放电动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扣1分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99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总得分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009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注：1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存在否决项内容的直接判定为“不合格”，总得分按0分计；</w:t>
            </w:r>
          </w:p>
          <w:p>
            <w:pPr>
              <w:spacing w:line="380" w:lineRule="exact"/>
              <w:ind w:firstLine="55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得分8分（含）以上的，判定为合格。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473"/>
    <w:rsid w:val="5B4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2021-09-06T07:16:00Z</dcterms:created>
  <dc:creator>玛丽</dc:creator>
  <cp:lastModifiedBy>玛丽</cp:lastModifiedBy>
  <dcterms:modified xsi:type="dcterms:W3CDTF">2021-09-06T07:16:34Z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FAB08D99F1D34BF48F8DC959778734B7</vt:lpwstr>
  </property>
</Properties>
</file>