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华文中宋" w:hAnsi="华文中宋" w:eastAsia="华文中宋"/>
          <w:sz w:val="44"/>
          <w:szCs w:val="44"/>
        </w:rPr>
      </w:pPr>
    </w:p>
    <w:p>
      <w:pPr>
        <w:adjustRightInd w:val="0"/>
        <w:snapToGrid w:val="0"/>
        <w:spacing w:line="360" w:lineRule="auto"/>
        <w:jc w:val="center"/>
        <w:rPr>
          <w:rFonts w:ascii="华文中宋" w:hAnsi="华文中宋" w:eastAsia="华文中宋"/>
          <w:sz w:val="44"/>
          <w:szCs w:val="44"/>
        </w:rPr>
      </w:pPr>
    </w:p>
    <w:p>
      <w:pPr>
        <w:adjustRightInd w:val="0"/>
        <w:snapToGrid w:val="0"/>
        <w:spacing w:line="360" w:lineRule="auto"/>
        <w:jc w:val="center"/>
        <w:rPr>
          <w:rFonts w:ascii="华文中宋" w:hAnsi="华文中宋" w:eastAsia="华文中宋"/>
          <w:sz w:val="44"/>
          <w:szCs w:val="44"/>
        </w:rPr>
      </w:pPr>
    </w:p>
    <w:p>
      <w:pPr>
        <w:pStyle w:val="2"/>
      </w:pPr>
    </w:p>
    <w:p>
      <w:pPr>
        <w:adjustRightInd w:val="0"/>
        <w:snapToGrid w:val="0"/>
        <w:spacing w:line="360" w:lineRule="auto"/>
        <w:jc w:val="center"/>
      </w:pPr>
      <w:bookmarkStart w:id="31" w:name="_GoBack"/>
      <w:r>
        <w:rPr>
          <w:rFonts w:hint="eastAsia" w:ascii="华文中宋" w:hAnsi="华文中宋" w:eastAsia="华文中宋"/>
          <w:sz w:val="44"/>
          <w:szCs w:val="44"/>
        </w:rPr>
        <w:t>永嘉县现代金融业发展“十四五”规划</w:t>
      </w:r>
      <w:bookmarkEnd w:id="31"/>
    </w:p>
    <w:p>
      <w:pPr>
        <w:adjustRightInd w:val="0"/>
        <w:snapToGrid w:val="0"/>
        <w:spacing w:line="360" w:lineRule="auto"/>
        <w:jc w:val="center"/>
        <w:rPr>
          <w:rFonts w:ascii="华文中宋" w:hAnsi="华文中宋" w:eastAsia="华文中宋"/>
          <w:sz w:val="44"/>
          <w:szCs w:val="44"/>
        </w:rPr>
        <w:sectPr>
          <w:footerReference r:id="rId3" w:type="default"/>
          <w:pgSz w:w="11906" w:h="16838"/>
          <w:pgMar w:top="1440" w:right="1800" w:bottom="1440" w:left="1800" w:header="851" w:footer="992" w:gutter="0"/>
          <w:cols w:space="425" w:num="1"/>
          <w:docGrid w:type="lines" w:linePitch="312" w:charSpace="0"/>
        </w:sectPr>
      </w:pPr>
      <w:r>
        <w:rPr>
          <w:rFonts w:hint="eastAsia" w:ascii="华文中宋" w:hAnsi="华文中宋" w:eastAsia="华文中宋"/>
          <w:sz w:val="44"/>
          <w:szCs w:val="44"/>
        </w:rPr>
        <w:t>（终稿）</w:t>
      </w:r>
    </w:p>
    <w:p>
      <w:pPr>
        <w:pStyle w:val="18"/>
        <w:tabs>
          <w:tab w:val="right" w:leader="dot" w:pos="8296"/>
        </w:tabs>
      </w:pPr>
    </w:p>
    <w:sdt>
      <w:sdtPr>
        <w:rPr>
          <w:rFonts w:ascii="仿宋_GB2312" w:hAnsi="Calibri" w:eastAsia="宋体" w:cs="Times New Roman"/>
          <w:color w:val="auto"/>
          <w:kern w:val="2"/>
          <w:sz w:val="21"/>
          <w:szCs w:val="24"/>
          <w:lang w:val="zh-CN"/>
        </w:rPr>
        <w:id w:val="1624807392"/>
      </w:sdtPr>
      <w:sdtEndPr>
        <w:rPr>
          <w:rFonts w:cs="Times New Roman" w:asciiTheme="minorEastAsia" w:hAnsiTheme="minorEastAsia" w:eastAsiaTheme="minorEastAsia"/>
          <w:b/>
          <w:bCs/>
          <w:color w:val="auto"/>
          <w:kern w:val="2"/>
          <w:sz w:val="28"/>
          <w:szCs w:val="28"/>
          <w:lang w:val="zh-CN"/>
        </w:rPr>
      </w:sdtEndPr>
      <w:sdtContent>
        <w:p>
          <w:pPr>
            <w:pStyle w:val="18"/>
            <w:tabs>
              <w:tab w:val="right" w:leader="dot" w:pos="8296"/>
            </w:tabs>
          </w:pPr>
        </w:p>
        <w:sdt>
          <w:sdtPr>
            <w:rPr>
              <w:rFonts w:ascii="仿宋_GB2312" w:hAnsi="Calibri" w:eastAsia="宋体" w:cs="Times New Roman"/>
              <w:color w:val="auto"/>
              <w:kern w:val="2"/>
              <w:sz w:val="21"/>
              <w:szCs w:val="24"/>
              <w:lang w:val="zh-CN"/>
            </w:rPr>
            <w:id w:val="-1942743762"/>
          </w:sdtPr>
          <w:sdtEndPr>
            <w:rPr>
              <w:rFonts w:cs="Times New Roman" w:asciiTheme="minorEastAsia" w:hAnsiTheme="minorEastAsia" w:eastAsiaTheme="minorEastAsia"/>
              <w:b/>
              <w:bCs/>
              <w:color w:val="auto"/>
              <w:kern w:val="2"/>
              <w:sz w:val="28"/>
              <w:szCs w:val="28"/>
              <w:lang w:val="zh-CN"/>
            </w:rPr>
          </w:sdtEndPr>
          <w:sdtContent>
            <w:p>
              <w:pPr>
                <w:pStyle w:val="84"/>
                <w:ind w:firstLine="3780" w:firstLineChars="1800"/>
                <w:rPr>
                  <w:rFonts w:ascii="黑体" w:hAnsi="黑体" w:eastAsia="黑体" w:cs="黑体"/>
                  <w:color w:val="auto"/>
                  <w:sz w:val="40"/>
                  <w:szCs w:val="40"/>
                </w:rPr>
              </w:pPr>
              <w:r>
                <w:rPr>
                  <w:rFonts w:hint="eastAsia" w:ascii="仿宋_GB2312" w:hAnsi="Calibri" w:eastAsia="宋体" w:cs="Times New Roman"/>
                  <w:color w:val="auto"/>
                  <w:kern w:val="2"/>
                  <w:sz w:val="21"/>
                  <w:szCs w:val="24"/>
                </w:rPr>
                <w:t xml:space="preserve"> </w:t>
              </w:r>
              <w:r>
                <w:rPr>
                  <w:rFonts w:hint="eastAsia" w:ascii="黑体" w:hAnsi="黑体" w:eastAsia="黑体" w:cs="黑体"/>
                  <w:color w:val="auto"/>
                  <w:sz w:val="40"/>
                  <w:szCs w:val="40"/>
                  <w:lang w:val="zh-CN"/>
                </w:rPr>
                <w:t>目 录</w:t>
              </w:r>
            </w:p>
            <w:p>
              <w:pPr>
                <w:pStyle w:val="18"/>
                <w:tabs>
                  <w:tab w:val="right" w:leader="dot" w:pos="8296"/>
                </w:tabs>
                <w:rPr>
                  <w:rFonts w:eastAsiaTheme="minorEastAsia" w:cstheme="minorBidi"/>
                  <w:b w:val="0"/>
                  <w:bCs w:val="0"/>
                  <w:caps w:val="0"/>
                  <w:sz w:val="28"/>
                  <w:szCs w:val="28"/>
                </w:rPr>
              </w:pPr>
              <w:r>
                <w:rPr>
                  <w:rFonts w:asciiTheme="minorEastAsia" w:hAnsiTheme="minorEastAsia" w:eastAsiaTheme="minorEastAsia"/>
                  <w:b w:val="0"/>
                  <w:bCs w:val="0"/>
                  <w:caps w:val="0"/>
                  <w:sz w:val="28"/>
                  <w:szCs w:val="28"/>
                </w:rPr>
                <w:fldChar w:fldCharType="begin"/>
              </w:r>
              <w:r>
                <w:rPr>
                  <w:rFonts w:asciiTheme="minorEastAsia" w:hAnsiTheme="minorEastAsia" w:eastAsiaTheme="minorEastAsia"/>
                  <w:b w:val="0"/>
                  <w:bCs w:val="0"/>
                  <w:caps w:val="0"/>
                  <w:sz w:val="28"/>
                  <w:szCs w:val="28"/>
                </w:rPr>
                <w:instrText xml:space="preserve"> TOC \o "1-2" \h \z \u </w:instrText>
              </w:r>
              <w:r>
                <w:rPr>
                  <w:rFonts w:asciiTheme="minorEastAsia" w:hAnsiTheme="minorEastAsia" w:eastAsiaTheme="minorEastAsia"/>
                  <w:b w:val="0"/>
                  <w:bCs w:val="0"/>
                  <w:caps w:val="0"/>
                  <w:sz w:val="28"/>
                  <w:szCs w:val="28"/>
                </w:rPr>
                <w:fldChar w:fldCharType="separate"/>
              </w:r>
              <w:r>
                <w:fldChar w:fldCharType="begin"/>
              </w:r>
              <w:r>
                <w:instrText xml:space="preserve"> HYPERLINK \l "_Toc63166559" </w:instrText>
              </w:r>
              <w:r>
                <w:fldChar w:fldCharType="separate"/>
              </w:r>
              <w:r>
                <w:rPr>
                  <w:rStyle w:val="33"/>
                  <w:rFonts w:hint="default" w:ascii="黑体" w:hAnsi="黑体" w:eastAsia="黑体"/>
                  <w:sz w:val="28"/>
                  <w:szCs w:val="28"/>
                </w:rPr>
                <w:t>一、 规划背景</w:t>
              </w:r>
              <w:r>
                <w:rPr>
                  <w:sz w:val="28"/>
                  <w:szCs w:val="28"/>
                </w:rPr>
                <w:tab/>
              </w:r>
              <w:r>
                <w:rPr>
                  <w:sz w:val="28"/>
                  <w:szCs w:val="28"/>
                </w:rPr>
                <w:fldChar w:fldCharType="begin"/>
              </w:r>
              <w:r>
                <w:rPr>
                  <w:sz w:val="28"/>
                  <w:szCs w:val="28"/>
                </w:rPr>
                <w:instrText xml:space="preserve"> PAGEREF _Toc63166559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"_Toc63166560" </w:instrText>
              </w:r>
              <w:r>
                <w:fldChar w:fldCharType="separate"/>
              </w:r>
              <w:r>
                <w:rPr>
                  <w:rStyle w:val="33"/>
                  <w:rFonts w:hint="default" w:ascii="黑体" w:hAnsi="黑体" w:eastAsia="黑体"/>
                  <w:sz w:val="28"/>
                  <w:szCs w:val="28"/>
                </w:rPr>
                <w:t>（一）成绩与经验</w:t>
              </w:r>
              <w:r>
                <w:rPr>
                  <w:sz w:val="28"/>
                  <w:szCs w:val="28"/>
                </w:rPr>
                <w:tab/>
              </w:r>
              <w:r>
                <w:rPr>
                  <w:sz w:val="28"/>
                  <w:szCs w:val="28"/>
                </w:rPr>
                <w:fldChar w:fldCharType="begin"/>
              </w:r>
              <w:r>
                <w:rPr>
                  <w:sz w:val="28"/>
                  <w:szCs w:val="28"/>
                </w:rPr>
                <w:instrText xml:space="preserve"> PAGEREF _Toc63166560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"_Toc63166561" </w:instrText>
              </w:r>
              <w:r>
                <w:fldChar w:fldCharType="separate"/>
              </w:r>
              <w:r>
                <w:rPr>
                  <w:rStyle w:val="33"/>
                  <w:rFonts w:hint="default" w:ascii="黑体" w:hAnsi="黑体" w:eastAsia="黑体"/>
                  <w:sz w:val="28"/>
                  <w:szCs w:val="28"/>
                </w:rPr>
                <w:t>（二）短板与问题</w:t>
              </w:r>
              <w:r>
                <w:rPr>
                  <w:sz w:val="28"/>
                  <w:szCs w:val="28"/>
                </w:rPr>
                <w:tab/>
              </w:r>
              <w:r>
                <w:rPr>
                  <w:sz w:val="28"/>
                  <w:szCs w:val="28"/>
                </w:rPr>
                <w:fldChar w:fldCharType="begin"/>
              </w:r>
              <w:r>
                <w:rPr>
                  <w:sz w:val="28"/>
                  <w:szCs w:val="28"/>
                </w:rPr>
                <w:instrText xml:space="preserve"> PAGEREF _Toc63166561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"_Toc63166562" </w:instrText>
              </w:r>
              <w:r>
                <w:fldChar w:fldCharType="separate"/>
              </w:r>
              <w:r>
                <w:rPr>
                  <w:rStyle w:val="33"/>
                  <w:rFonts w:hint="default" w:ascii="黑体" w:hAnsi="黑体" w:eastAsia="黑体"/>
                  <w:sz w:val="28"/>
                  <w:szCs w:val="28"/>
                </w:rPr>
                <w:t>（三）形势与机遇</w:t>
              </w:r>
              <w:r>
                <w:rPr>
                  <w:sz w:val="28"/>
                  <w:szCs w:val="28"/>
                </w:rPr>
                <w:tab/>
              </w:r>
              <w:r>
                <w:rPr>
                  <w:sz w:val="28"/>
                  <w:szCs w:val="28"/>
                </w:rPr>
                <w:fldChar w:fldCharType="begin"/>
              </w:r>
              <w:r>
                <w:rPr>
                  <w:sz w:val="28"/>
                  <w:szCs w:val="28"/>
                </w:rPr>
                <w:instrText xml:space="preserve"> PAGEREF _Toc63166562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8"/>
                <w:tabs>
                  <w:tab w:val="right" w:leader="dot" w:pos="8296"/>
                </w:tabs>
                <w:rPr>
                  <w:rFonts w:eastAsiaTheme="minorEastAsia" w:cstheme="minorBidi"/>
                  <w:b w:val="0"/>
                  <w:bCs w:val="0"/>
                  <w:caps w:val="0"/>
                  <w:sz w:val="28"/>
                  <w:szCs w:val="28"/>
                </w:rPr>
              </w:pPr>
              <w:r>
                <w:fldChar w:fldCharType="begin"/>
              </w:r>
              <w:r>
                <w:instrText xml:space="preserve"> HYPERLINK \l "_Toc63166563" </w:instrText>
              </w:r>
              <w:r>
                <w:fldChar w:fldCharType="separate"/>
              </w:r>
              <w:r>
                <w:rPr>
                  <w:rStyle w:val="33"/>
                  <w:rFonts w:hint="default" w:ascii="黑体" w:hAnsi="黑体" w:eastAsia="黑体"/>
                  <w:sz w:val="28"/>
                  <w:szCs w:val="28"/>
                </w:rPr>
                <w:t>二、坚守金融初心，着力完善发展目标</w:t>
              </w:r>
              <w:r>
                <w:rPr>
                  <w:rStyle w:val="33"/>
                  <w:rFonts w:hint="eastAsia" w:ascii="黑体" w:hAnsi="黑体" w:eastAsia="黑体"/>
                  <w:sz w:val="28"/>
                  <w:szCs w:val="28"/>
                  <w:lang w:val="en-US" w:eastAsia="zh-CN"/>
                </w:rPr>
                <w:t>指标</w:t>
              </w:r>
              <w:r>
                <w:rPr>
                  <w:rStyle w:val="33"/>
                  <w:rFonts w:hint="default" w:ascii="黑体" w:hAnsi="黑体" w:eastAsia="黑体"/>
                  <w:sz w:val="28"/>
                  <w:szCs w:val="28"/>
                </w:rPr>
                <w:t>体系</w:t>
              </w:r>
              <w:r>
                <w:rPr>
                  <w:sz w:val="28"/>
                  <w:szCs w:val="28"/>
                </w:rPr>
                <w:tab/>
              </w:r>
              <w:r>
                <w:rPr>
                  <w:sz w:val="28"/>
                  <w:szCs w:val="28"/>
                </w:rPr>
                <w:fldChar w:fldCharType="begin"/>
              </w:r>
              <w:r>
                <w:rPr>
                  <w:sz w:val="28"/>
                  <w:szCs w:val="28"/>
                </w:rPr>
                <w:instrText xml:space="preserve"> PAGEREF _Toc63166563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"_Toc63166564" </w:instrText>
              </w:r>
              <w:r>
                <w:fldChar w:fldCharType="separate"/>
              </w:r>
              <w:r>
                <w:rPr>
                  <w:rStyle w:val="33"/>
                  <w:rFonts w:hint="default" w:ascii="黑体" w:hAnsi="黑体" w:eastAsia="黑体"/>
                  <w:sz w:val="28"/>
                  <w:szCs w:val="28"/>
                </w:rPr>
                <w:t>（一）指导思想</w:t>
              </w:r>
              <w:r>
                <w:rPr>
                  <w:sz w:val="28"/>
                  <w:szCs w:val="28"/>
                </w:rPr>
                <w:tab/>
              </w:r>
              <w:r>
                <w:rPr>
                  <w:sz w:val="28"/>
                  <w:szCs w:val="28"/>
                </w:rPr>
                <w:fldChar w:fldCharType="begin"/>
              </w:r>
              <w:r>
                <w:rPr>
                  <w:sz w:val="28"/>
                  <w:szCs w:val="28"/>
                </w:rPr>
                <w:instrText xml:space="preserve"> PAGEREF _Toc63166564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"_Toc63166565" </w:instrText>
              </w:r>
              <w:r>
                <w:fldChar w:fldCharType="separate"/>
              </w:r>
              <w:r>
                <w:rPr>
                  <w:rStyle w:val="33"/>
                  <w:rFonts w:hint="default" w:ascii="黑体" w:hAnsi="黑体" w:eastAsia="黑体"/>
                  <w:sz w:val="28"/>
                  <w:szCs w:val="28"/>
                </w:rPr>
                <w:t>（二）战略定位</w:t>
              </w:r>
              <w:r>
                <w:rPr>
                  <w:sz w:val="28"/>
                  <w:szCs w:val="28"/>
                </w:rPr>
                <w:tab/>
              </w:r>
              <w:r>
                <w:rPr>
                  <w:sz w:val="28"/>
                  <w:szCs w:val="28"/>
                </w:rPr>
                <w:fldChar w:fldCharType="begin"/>
              </w:r>
              <w:r>
                <w:rPr>
                  <w:sz w:val="28"/>
                  <w:szCs w:val="28"/>
                </w:rPr>
                <w:instrText xml:space="preserve"> PAGEREF _Toc63166565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"_Toc63166566" </w:instrText>
              </w:r>
              <w:r>
                <w:fldChar w:fldCharType="separate"/>
              </w:r>
              <w:r>
                <w:rPr>
                  <w:rStyle w:val="33"/>
                  <w:rFonts w:hint="default" w:ascii="黑体" w:hAnsi="黑体" w:eastAsia="黑体"/>
                  <w:sz w:val="28"/>
                  <w:szCs w:val="28"/>
                </w:rPr>
                <w:t>（三）功能布局</w:t>
              </w:r>
              <w:r>
                <w:rPr>
                  <w:sz w:val="28"/>
                  <w:szCs w:val="28"/>
                </w:rPr>
                <w:tab/>
              </w:r>
              <w:r>
                <w:rPr>
                  <w:sz w:val="28"/>
                  <w:szCs w:val="28"/>
                </w:rPr>
                <w:fldChar w:fldCharType="begin"/>
              </w:r>
              <w:r>
                <w:rPr>
                  <w:sz w:val="28"/>
                  <w:szCs w:val="28"/>
                </w:rPr>
                <w:instrText xml:space="preserve"> PAGEREF _Toc63166566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"_Toc63166567" </w:instrText>
              </w:r>
              <w:r>
                <w:fldChar w:fldCharType="separate"/>
              </w:r>
              <w:r>
                <w:rPr>
                  <w:rStyle w:val="33"/>
                  <w:rFonts w:hint="default" w:ascii="黑体" w:hAnsi="黑体" w:eastAsia="黑体"/>
                  <w:sz w:val="28"/>
                  <w:szCs w:val="28"/>
                </w:rPr>
                <w:t>（四）主要目标</w:t>
              </w:r>
              <w:r>
                <w:rPr>
                  <w:sz w:val="28"/>
                  <w:szCs w:val="28"/>
                </w:rPr>
                <w:tab/>
              </w:r>
              <w:r>
                <w:rPr>
                  <w:sz w:val="28"/>
                  <w:szCs w:val="28"/>
                </w:rPr>
                <w:fldChar w:fldCharType="begin"/>
              </w:r>
              <w:r>
                <w:rPr>
                  <w:sz w:val="28"/>
                  <w:szCs w:val="28"/>
                </w:rPr>
                <w:instrText xml:space="preserve"> PAGEREF _Toc63166567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18"/>
                <w:tabs>
                  <w:tab w:val="right" w:leader="dot" w:pos="8296"/>
                </w:tabs>
                <w:rPr>
                  <w:rFonts w:eastAsiaTheme="minorEastAsia" w:cstheme="minorBidi"/>
                  <w:b w:val="0"/>
                  <w:bCs w:val="0"/>
                  <w:caps w:val="0"/>
                  <w:sz w:val="28"/>
                  <w:szCs w:val="28"/>
                </w:rPr>
              </w:pPr>
              <w:r>
                <w:fldChar w:fldCharType="begin"/>
              </w:r>
              <w:r>
                <w:instrText xml:space="preserve"> HYPERLINK \l "_Toc63166568" </w:instrText>
              </w:r>
              <w:r>
                <w:fldChar w:fldCharType="separate"/>
              </w:r>
              <w:r>
                <w:rPr>
                  <w:rStyle w:val="33"/>
                  <w:rFonts w:hint="default" w:ascii="黑体" w:hAnsi="黑体" w:eastAsia="黑体"/>
                  <w:sz w:val="28"/>
                  <w:szCs w:val="28"/>
                </w:rPr>
                <w:t>三、坚持高质量主题，着力打造现代金融产业体系</w:t>
              </w:r>
              <w:r>
                <w:rPr>
                  <w:sz w:val="28"/>
                  <w:szCs w:val="28"/>
                </w:rPr>
                <w:tab/>
              </w:r>
              <w:r>
                <w:rPr>
                  <w:sz w:val="28"/>
                  <w:szCs w:val="28"/>
                </w:rPr>
                <w:fldChar w:fldCharType="begin"/>
              </w:r>
              <w:r>
                <w:rPr>
                  <w:sz w:val="28"/>
                  <w:szCs w:val="28"/>
                </w:rPr>
                <w:instrText xml:space="preserve"> PAGEREF _Toc63166568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"_Toc63166569" </w:instrText>
              </w:r>
              <w:r>
                <w:fldChar w:fldCharType="separate"/>
              </w:r>
              <w:r>
                <w:rPr>
                  <w:rStyle w:val="33"/>
                  <w:rFonts w:hint="default" w:ascii="黑体" w:hAnsi="黑体" w:eastAsia="黑体"/>
                  <w:sz w:val="28"/>
                  <w:szCs w:val="28"/>
                </w:rPr>
                <w:t>（一）加快打造资本市场永嘉板块</w:t>
              </w:r>
              <w:r>
                <w:rPr>
                  <w:sz w:val="28"/>
                  <w:szCs w:val="28"/>
                </w:rPr>
                <w:tab/>
              </w:r>
              <w:r>
                <w:rPr>
                  <w:sz w:val="28"/>
                  <w:szCs w:val="28"/>
                </w:rPr>
                <w:fldChar w:fldCharType="begin"/>
              </w:r>
              <w:r>
                <w:rPr>
                  <w:sz w:val="28"/>
                  <w:szCs w:val="28"/>
                </w:rPr>
                <w:instrText xml:space="preserve"> PAGEREF _Toc63166569 \h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"_Toc63166570" </w:instrText>
              </w:r>
              <w:r>
                <w:fldChar w:fldCharType="separate"/>
              </w:r>
              <w:r>
                <w:rPr>
                  <w:rStyle w:val="33"/>
                  <w:rFonts w:hint="default" w:ascii="黑体" w:hAnsi="黑体" w:eastAsia="黑体"/>
                  <w:sz w:val="28"/>
                  <w:szCs w:val="28"/>
                </w:rPr>
                <w:t>（二）支持银行业机构高质量发展</w:t>
              </w:r>
              <w:r>
                <w:rPr>
                  <w:sz w:val="28"/>
                  <w:szCs w:val="28"/>
                </w:rPr>
                <w:tab/>
              </w:r>
              <w:r>
                <w:rPr>
                  <w:sz w:val="28"/>
                  <w:szCs w:val="28"/>
                </w:rPr>
                <w:fldChar w:fldCharType="begin"/>
              </w:r>
              <w:r>
                <w:rPr>
                  <w:sz w:val="28"/>
                  <w:szCs w:val="28"/>
                </w:rPr>
                <w:instrText xml:space="preserve"> PAGEREF _Toc63166570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"_Toc63166571" </w:instrText>
              </w:r>
              <w:r>
                <w:fldChar w:fldCharType="separate"/>
              </w:r>
              <w:r>
                <w:rPr>
                  <w:rStyle w:val="33"/>
                  <w:rFonts w:hint="default" w:ascii="黑体" w:hAnsi="黑体" w:eastAsia="黑体"/>
                  <w:sz w:val="28"/>
                  <w:szCs w:val="28"/>
                </w:rPr>
                <w:t>（三）支持保险业机构发挥积极作用</w:t>
              </w:r>
              <w:r>
                <w:rPr>
                  <w:sz w:val="28"/>
                  <w:szCs w:val="28"/>
                </w:rPr>
                <w:tab/>
              </w:r>
              <w:r>
                <w:rPr>
                  <w:sz w:val="28"/>
                  <w:szCs w:val="28"/>
                </w:rPr>
                <w:fldChar w:fldCharType="begin"/>
              </w:r>
              <w:r>
                <w:rPr>
                  <w:sz w:val="28"/>
                  <w:szCs w:val="28"/>
                </w:rPr>
                <w:instrText xml:space="preserve"> PAGEREF _Toc63166571 \h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"_Toc63166572" </w:instrText>
              </w:r>
              <w:r>
                <w:fldChar w:fldCharType="separate"/>
              </w:r>
              <w:r>
                <w:rPr>
                  <w:rStyle w:val="33"/>
                  <w:rFonts w:hint="default" w:ascii="黑体" w:hAnsi="黑体" w:eastAsia="黑体" w:cs="黑体"/>
                  <w:sz w:val="28"/>
                  <w:szCs w:val="28"/>
                </w:rPr>
                <w:t>（四）推动地方金融组织及其他金融机构健康发展</w:t>
              </w:r>
              <w:r>
                <w:rPr>
                  <w:sz w:val="28"/>
                  <w:szCs w:val="28"/>
                </w:rPr>
                <w:tab/>
              </w:r>
              <w:r>
                <w:rPr>
                  <w:sz w:val="28"/>
                  <w:szCs w:val="28"/>
                </w:rPr>
                <w:fldChar w:fldCharType="begin"/>
              </w:r>
              <w:r>
                <w:rPr>
                  <w:sz w:val="28"/>
                  <w:szCs w:val="28"/>
                </w:rPr>
                <w:instrText xml:space="preserve"> PAGEREF _Toc63166572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8"/>
                <w:tabs>
                  <w:tab w:val="right" w:leader="dot" w:pos="8296"/>
                </w:tabs>
                <w:rPr>
                  <w:rFonts w:eastAsiaTheme="minorEastAsia" w:cstheme="minorBidi"/>
                  <w:b w:val="0"/>
                  <w:bCs w:val="0"/>
                  <w:caps w:val="0"/>
                  <w:sz w:val="28"/>
                  <w:szCs w:val="28"/>
                </w:rPr>
              </w:pPr>
              <w:r>
                <w:fldChar w:fldCharType="begin"/>
              </w:r>
              <w:r>
                <w:instrText xml:space="preserve"> HYPERLINK \l "_Toc63166573" </w:instrText>
              </w:r>
              <w:r>
                <w:fldChar w:fldCharType="separate"/>
              </w:r>
              <w:r>
                <w:rPr>
                  <w:rStyle w:val="33"/>
                  <w:rFonts w:hint="default" w:ascii="黑体" w:hAnsi="黑体" w:eastAsia="黑体"/>
                  <w:sz w:val="28"/>
                  <w:szCs w:val="28"/>
                </w:rPr>
                <w:t>四、坚持改革引领，着力健全金融改革推进体系</w:t>
              </w:r>
              <w:r>
                <w:rPr>
                  <w:sz w:val="28"/>
                  <w:szCs w:val="28"/>
                </w:rPr>
                <w:tab/>
              </w:r>
              <w:r>
                <w:rPr>
                  <w:sz w:val="28"/>
                  <w:szCs w:val="28"/>
                </w:rPr>
                <w:fldChar w:fldCharType="begin"/>
              </w:r>
              <w:r>
                <w:rPr>
                  <w:sz w:val="28"/>
                  <w:szCs w:val="28"/>
                </w:rPr>
                <w:instrText xml:space="preserve"> PAGEREF _Toc63166573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"_Toc63166574" </w:instrText>
              </w:r>
              <w:r>
                <w:fldChar w:fldCharType="separate"/>
              </w:r>
              <w:r>
                <w:rPr>
                  <w:rStyle w:val="33"/>
                  <w:rFonts w:hint="default" w:ascii="黑体" w:hAnsi="黑体" w:eastAsia="黑体"/>
                  <w:sz w:val="28"/>
                  <w:szCs w:val="28"/>
                </w:rPr>
                <w:t>（一）实施农村金融工程</w:t>
              </w:r>
              <w:r>
                <w:rPr>
                  <w:sz w:val="28"/>
                  <w:szCs w:val="28"/>
                </w:rPr>
                <w:tab/>
              </w:r>
              <w:r>
                <w:rPr>
                  <w:sz w:val="28"/>
                  <w:szCs w:val="28"/>
                </w:rPr>
                <w:fldChar w:fldCharType="begin"/>
              </w:r>
              <w:r>
                <w:rPr>
                  <w:sz w:val="28"/>
                  <w:szCs w:val="28"/>
                </w:rPr>
                <w:instrText xml:space="preserve"> PAGEREF _Toc63166574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"_Toc63166575" </w:instrText>
              </w:r>
              <w:r>
                <w:fldChar w:fldCharType="separate"/>
              </w:r>
              <w:r>
                <w:rPr>
                  <w:rStyle w:val="33"/>
                  <w:rFonts w:hint="default" w:ascii="黑体" w:hAnsi="黑体" w:eastAsia="黑体"/>
                  <w:sz w:val="28"/>
                  <w:szCs w:val="28"/>
                </w:rPr>
                <w:t>（二）实施小微金融工程</w:t>
              </w:r>
              <w:r>
                <w:rPr>
                  <w:sz w:val="28"/>
                  <w:szCs w:val="28"/>
                </w:rPr>
                <w:tab/>
              </w:r>
              <w:r>
                <w:rPr>
                  <w:sz w:val="28"/>
                  <w:szCs w:val="28"/>
                </w:rPr>
                <w:fldChar w:fldCharType="begin"/>
              </w:r>
              <w:r>
                <w:rPr>
                  <w:sz w:val="28"/>
                  <w:szCs w:val="28"/>
                </w:rPr>
                <w:instrText xml:space="preserve"> PAGEREF _Toc63166575 \h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"_Toc63166576" </w:instrText>
              </w:r>
              <w:r>
                <w:fldChar w:fldCharType="separate"/>
              </w:r>
              <w:r>
                <w:rPr>
                  <w:rStyle w:val="33"/>
                  <w:rFonts w:hint="default" w:ascii="黑体" w:hAnsi="黑体" w:eastAsia="黑体"/>
                  <w:sz w:val="28"/>
                  <w:szCs w:val="28"/>
                </w:rPr>
                <w:t>（三）实施文体旅金融工程</w:t>
              </w:r>
              <w:r>
                <w:rPr>
                  <w:sz w:val="28"/>
                  <w:szCs w:val="28"/>
                </w:rPr>
                <w:tab/>
              </w:r>
              <w:r>
                <w:rPr>
                  <w:sz w:val="28"/>
                  <w:szCs w:val="28"/>
                </w:rPr>
                <w:fldChar w:fldCharType="begin"/>
              </w:r>
              <w:r>
                <w:rPr>
                  <w:sz w:val="28"/>
                  <w:szCs w:val="28"/>
                </w:rPr>
                <w:instrText xml:space="preserve"> PAGEREF _Toc63166576 \h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"_Toc63166577" </w:instrText>
              </w:r>
              <w:r>
                <w:fldChar w:fldCharType="separate"/>
              </w:r>
              <w:r>
                <w:rPr>
                  <w:rStyle w:val="33"/>
                  <w:rFonts w:hint="default" w:ascii="黑体" w:hAnsi="黑体" w:eastAsia="黑体"/>
                  <w:sz w:val="28"/>
                  <w:szCs w:val="28"/>
                </w:rPr>
                <w:t>（四）实施科创金融工程</w:t>
              </w:r>
              <w:r>
                <w:rPr>
                  <w:sz w:val="28"/>
                  <w:szCs w:val="28"/>
                </w:rPr>
                <w:tab/>
              </w:r>
              <w:r>
                <w:rPr>
                  <w:sz w:val="28"/>
                  <w:szCs w:val="28"/>
                </w:rPr>
                <w:fldChar w:fldCharType="begin"/>
              </w:r>
              <w:r>
                <w:rPr>
                  <w:sz w:val="28"/>
                  <w:szCs w:val="28"/>
                </w:rPr>
                <w:instrText xml:space="preserve"> PAGEREF _Toc63166577 \h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"_Toc63166578" </w:instrText>
              </w:r>
              <w:r>
                <w:fldChar w:fldCharType="separate"/>
              </w:r>
              <w:r>
                <w:rPr>
                  <w:rStyle w:val="33"/>
                  <w:rFonts w:hint="default" w:ascii="黑体" w:hAnsi="黑体" w:eastAsia="黑体"/>
                  <w:sz w:val="28"/>
                  <w:szCs w:val="28"/>
                </w:rPr>
                <w:t>（五）实施股改上市工程</w:t>
              </w:r>
              <w:r>
                <w:rPr>
                  <w:sz w:val="28"/>
                  <w:szCs w:val="28"/>
                </w:rPr>
                <w:tab/>
              </w:r>
              <w:r>
                <w:rPr>
                  <w:sz w:val="28"/>
                  <w:szCs w:val="28"/>
                </w:rPr>
                <w:fldChar w:fldCharType="begin"/>
              </w:r>
              <w:r>
                <w:rPr>
                  <w:sz w:val="28"/>
                  <w:szCs w:val="28"/>
                </w:rPr>
                <w:instrText xml:space="preserve"> PAGEREF _Toc63166578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"_Toc63166579" </w:instrText>
              </w:r>
              <w:r>
                <w:fldChar w:fldCharType="separate"/>
              </w:r>
              <w:r>
                <w:rPr>
                  <w:rStyle w:val="33"/>
                  <w:rFonts w:hint="default" w:ascii="黑体" w:hAnsi="黑体" w:eastAsia="黑体"/>
                  <w:sz w:val="28"/>
                  <w:szCs w:val="28"/>
                </w:rPr>
                <w:t>（六）实施保险深化工程</w:t>
              </w:r>
              <w:r>
                <w:rPr>
                  <w:sz w:val="28"/>
                  <w:szCs w:val="28"/>
                </w:rPr>
                <w:tab/>
              </w:r>
              <w:r>
                <w:rPr>
                  <w:sz w:val="28"/>
                  <w:szCs w:val="28"/>
                </w:rPr>
                <w:fldChar w:fldCharType="begin"/>
              </w:r>
              <w:r>
                <w:rPr>
                  <w:sz w:val="28"/>
                  <w:szCs w:val="28"/>
                </w:rPr>
                <w:instrText xml:space="preserve"> PAGEREF _Toc63166579 \h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8"/>
                <w:tabs>
                  <w:tab w:val="right" w:leader="dot" w:pos="8296"/>
                </w:tabs>
                <w:rPr>
                  <w:rFonts w:eastAsiaTheme="minorEastAsia" w:cstheme="minorBidi"/>
                  <w:b w:val="0"/>
                  <w:bCs w:val="0"/>
                  <w:caps w:val="0"/>
                  <w:sz w:val="28"/>
                  <w:szCs w:val="28"/>
                </w:rPr>
              </w:pPr>
              <w:r>
                <w:fldChar w:fldCharType="begin"/>
              </w:r>
              <w:r>
                <w:instrText xml:space="preserve"> HYPERLINK \l "_Toc63166580" </w:instrText>
              </w:r>
              <w:r>
                <w:fldChar w:fldCharType="separate"/>
              </w:r>
              <w:r>
                <w:rPr>
                  <w:rStyle w:val="33"/>
                  <w:rFonts w:hint="default" w:ascii="黑体" w:hAnsi="黑体" w:eastAsia="黑体"/>
                  <w:sz w:val="28"/>
                  <w:szCs w:val="28"/>
                </w:rPr>
                <w:t>五、坚持夯基固本，着力构建金融基础设施体系</w:t>
              </w:r>
              <w:r>
                <w:rPr>
                  <w:sz w:val="28"/>
                  <w:szCs w:val="28"/>
                </w:rPr>
                <w:tab/>
              </w:r>
              <w:r>
                <w:rPr>
                  <w:sz w:val="28"/>
                  <w:szCs w:val="28"/>
                </w:rPr>
                <w:fldChar w:fldCharType="begin"/>
              </w:r>
              <w:r>
                <w:rPr>
                  <w:sz w:val="28"/>
                  <w:szCs w:val="28"/>
                </w:rPr>
                <w:instrText xml:space="preserve"> PAGEREF _Toc63166580 \h </w:instrText>
              </w:r>
              <w:r>
                <w:rPr>
                  <w:sz w:val="28"/>
                  <w:szCs w:val="28"/>
                </w:rPr>
                <w:fldChar w:fldCharType="separate"/>
              </w:r>
              <w:r>
                <w:rPr>
                  <w:sz w:val="28"/>
                  <w:szCs w:val="28"/>
                </w:rPr>
                <w:t>34</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"_Toc63166581" </w:instrText>
              </w:r>
              <w:r>
                <w:fldChar w:fldCharType="separate"/>
              </w:r>
              <w:r>
                <w:rPr>
                  <w:rStyle w:val="33"/>
                  <w:rFonts w:hint="default" w:ascii="黑体" w:hAnsi="黑体" w:eastAsia="黑体"/>
                  <w:sz w:val="28"/>
                  <w:szCs w:val="28"/>
                </w:rPr>
                <w:t>（一）打造一流信用生态</w:t>
              </w:r>
              <w:r>
                <w:rPr>
                  <w:sz w:val="28"/>
                  <w:szCs w:val="28"/>
                </w:rPr>
                <w:tab/>
              </w:r>
              <w:r>
                <w:rPr>
                  <w:sz w:val="28"/>
                  <w:szCs w:val="28"/>
                </w:rPr>
                <w:fldChar w:fldCharType="begin"/>
              </w:r>
              <w:r>
                <w:rPr>
                  <w:sz w:val="28"/>
                  <w:szCs w:val="28"/>
                </w:rPr>
                <w:instrText xml:space="preserve"> PAGEREF _Toc63166581 \h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"_Toc63166582" </w:instrText>
              </w:r>
              <w:r>
                <w:fldChar w:fldCharType="separate"/>
              </w:r>
              <w:r>
                <w:rPr>
                  <w:rStyle w:val="33"/>
                  <w:rFonts w:hint="default" w:ascii="黑体" w:hAnsi="黑体" w:eastAsia="黑体" w:cs="仿宋_GB2312"/>
                  <w:bCs/>
                  <w:spacing w:val="-4"/>
                  <w:sz w:val="28"/>
                  <w:szCs w:val="28"/>
                </w:rPr>
                <w:t>（二）构建普惠担保机制</w:t>
              </w:r>
              <w:r>
                <w:rPr>
                  <w:sz w:val="28"/>
                  <w:szCs w:val="28"/>
                </w:rPr>
                <w:tab/>
              </w:r>
              <w:r>
                <w:rPr>
                  <w:sz w:val="28"/>
                  <w:szCs w:val="28"/>
                </w:rPr>
                <w:fldChar w:fldCharType="begin"/>
              </w:r>
              <w:r>
                <w:rPr>
                  <w:sz w:val="28"/>
                  <w:szCs w:val="28"/>
                </w:rPr>
                <w:instrText xml:space="preserve"> PAGEREF _Toc63166582 \h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"_Toc63166583" </w:instrText>
              </w:r>
              <w:r>
                <w:fldChar w:fldCharType="separate"/>
              </w:r>
              <w:r>
                <w:rPr>
                  <w:rStyle w:val="33"/>
                  <w:rFonts w:hint="default" w:ascii="黑体" w:hAnsi="黑体" w:eastAsia="黑体" w:cs="仿宋_GB2312"/>
                  <w:spacing w:val="-4"/>
                  <w:sz w:val="28"/>
                  <w:szCs w:val="28"/>
                </w:rPr>
                <w:t>（三）</w:t>
              </w:r>
              <w:r>
                <w:rPr>
                  <w:rStyle w:val="33"/>
                  <w:rFonts w:hint="default" w:ascii="黑体" w:hAnsi="黑体" w:eastAsia="黑体" w:cs="仿宋_GB2312"/>
                  <w:bCs/>
                  <w:spacing w:val="-4"/>
                  <w:sz w:val="28"/>
                  <w:szCs w:val="28"/>
                </w:rPr>
                <w:t>加</w:t>
              </w:r>
              <w:r>
                <w:rPr>
                  <w:rStyle w:val="33"/>
                  <w:rFonts w:hint="default" w:ascii="黑体" w:hAnsi="黑体" w:eastAsia="黑体" w:cs="仿宋_GB2312"/>
                  <w:spacing w:val="-4"/>
                  <w:sz w:val="28"/>
                  <w:szCs w:val="28"/>
                </w:rPr>
                <w:t>强金融文化教育</w:t>
              </w:r>
              <w:r>
                <w:rPr>
                  <w:sz w:val="28"/>
                  <w:szCs w:val="28"/>
                </w:rPr>
                <w:tab/>
              </w:r>
              <w:r>
                <w:rPr>
                  <w:sz w:val="28"/>
                  <w:szCs w:val="28"/>
                </w:rPr>
                <w:fldChar w:fldCharType="begin"/>
              </w:r>
              <w:r>
                <w:rPr>
                  <w:sz w:val="28"/>
                  <w:szCs w:val="28"/>
                </w:rPr>
                <w:instrText xml:space="preserve"> PAGEREF _Toc63166583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"_Toc63166584" </w:instrText>
              </w:r>
              <w:r>
                <w:fldChar w:fldCharType="separate"/>
              </w:r>
              <w:r>
                <w:rPr>
                  <w:rStyle w:val="33"/>
                  <w:rFonts w:hint="default" w:ascii="黑体" w:hAnsi="黑体" w:eastAsia="黑体"/>
                  <w:sz w:val="28"/>
                  <w:szCs w:val="28"/>
                </w:rPr>
                <w:t>（四）加快金融设施建设</w:t>
              </w:r>
              <w:r>
                <w:rPr>
                  <w:sz w:val="28"/>
                  <w:szCs w:val="28"/>
                </w:rPr>
                <w:tab/>
              </w:r>
              <w:r>
                <w:rPr>
                  <w:sz w:val="28"/>
                  <w:szCs w:val="28"/>
                </w:rPr>
                <w:fldChar w:fldCharType="begin"/>
              </w:r>
              <w:r>
                <w:rPr>
                  <w:sz w:val="28"/>
                  <w:szCs w:val="28"/>
                </w:rPr>
                <w:instrText xml:space="preserve"> PAGEREF _Toc63166584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8"/>
                <w:tabs>
                  <w:tab w:val="right" w:leader="dot" w:pos="8296"/>
                </w:tabs>
                <w:rPr>
                  <w:rFonts w:eastAsiaTheme="minorEastAsia" w:cstheme="minorBidi"/>
                  <w:b w:val="0"/>
                  <w:bCs w:val="0"/>
                  <w:caps w:val="0"/>
                  <w:sz w:val="28"/>
                  <w:szCs w:val="28"/>
                </w:rPr>
              </w:pPr>
              <w:r>
                <w:fldChar w:fldCharType="begin"/>
              </w:r>
              <w:r>
                <w:instrText xml:space="preserve"> HYPERLINK \l "_Toc63166585" </w:instrText>
              </w:r>
              <w:r>
                <w:fldChar w:fldCharType="separate"/>
              </w:r>
              <w:r>
                <w:rPr>
                  <w:rStyle w:val="33"/>
                  <w:rFonts w:hint="default" w:ascii="黑体" w:hAnsi="黑体" w:eastAsia="黑体"/>
                  <w:sz w:val="28"/>
                  <w:szCs w:val="28"/>
                </w:rPr>
                <w:t>六、坚持整体智治，着力形成金融规划</w:t>
              </w:r>
              <w:r>
                <w:rPr>
                  <w:rStyle w:val="33"/>
                  <w:rFonts w:hint="eastAsia" w:ascii="黑体" w:hAnsi="黑体" w:eastAsia="黑体"/>
                  <w:sz w:val="28"/>
                  <w:szCs w:val="28"/>
                  <w:lang w:val="en-US" w:eastAsia="zh-CN"/>
                </w:rPr>
                <w:t>实施</w:t>
              </w:r>
              <w:r>
                <w:rPr>
                  <w:rStyle w:val="33"/>
                  <w:rFonts w:hint="default" w:ascii="黑体" w:hAnsi="黑体" w:eastAsia="黑体"/>
                  <w:sz w:val="28"/>
                  <w:szCs w:val="28"/>
                </w:rPr>
                <w:t>保障体系</w:t>
              </w:r>
              <w:r>
                <w:rPr>
                  <w:sz w:val="28"/>
                  <w:szCs w:val="28"/>
                </w:rPr>
                <w:tab/>
              </w:r>
              <w:r>
                <w:rPr>
                  <w:sz w:val="28"/>
                  <w:szCs w:val="28"/>
                </w:rPr>
                <w:fldChar w:fldCharType="begin"/>
              </w:r>
              <w:r>
                <w:rPr>
                  <w:sz w:val="28"/>
                  <w:szCs w:val="28"/>
                </w:rPr>
                <w:instrText xml:space="preserve"> PAGEREF _Toc63166585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"_Toc63166586" </w:instrText>
              </w:r>
              <w:r>
                <w:fldChar w:fldCharType="separate"/>
              </w:r>
              <w:r>
                <w:rPr>
                  <w:rStyle w:val="33"/>
                  <w:rFonts w:hint="default" w:ascii="黑体" w:hAnsi="黑体" w:eastAsia="黑体"/>
                  <w:sz w:val="28"/>
                  <w:szCs w:val="28"/>
                </w:rPr>
                <w:t>（一）加强党对金融工作的领导</w:t>
              </w:r>
              <w:r>
                <w:rPr>
                  <w:sz w:val="28"/>
                  <w:szCs w:val="28"/>
                </w:rPr>
                <w:tab/>
              </w:r>
              <w:r>
                <w:rPr>
                  <w:sz w:val="28"/>
                  <w:szCs w:val="28"/>
                </w:rPr>
                <w:fldChar w:fldCharType="begin"/>
              </w:r>
              <w:r>
                <w:rPr>
                  <w:sz w:val="28"/>
                  <w:szCs w:val="28"/>
                </w:rPr>
                <w:instrText xml:space="preserve"> PAGEREF _Toc63166586 \h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"_Toc63166587" </w:instrText>
              </w:r>
              <w:r>
                <w:fldChar w:fldCharType="separate"/>
              </w:r>
              <w:r>
                <w:rPr>
                  <w:rStyle w:val="33"/>
                  <w:rFonts w:hint="default" w:ascii="黑体" w:hAnsi="黑体" w:eastAsia="黑体"/>
                  <w:sz w:val="28"/>
                  <w:szCs w:val="28"/>
                </w:rPr>
                <w:t>（二）加强金融改革发展政策保障</w:t>
              </w:r>
              <w:r>
                <w:rPr>
                  <w:sz w:val="28"/>
                  <w:szCs w:val="28"/>
                </w:rPr>
                <w:tab/>
              </w:r>
              <w:r>
                <w:rPr>
                  <w:sz w:val="28"/>
                  <w:szCs w:val="28"/>
                </w:rPr>
                <w:fldChar w:fldCharType="begin"/>
              </w:r>
              <w:r>
                <w:rPr>
                  <w:sz w:val="28"/>
                  <w:szCs w:val="28"/>
                </w:rPr>
                <w:instrText xml:space="preserve"> PAGEREF _Toc63166587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"_Toc63166588" </w:instrText>
              </w:r>
              <w:r>
                <w:fldChar w:fldCharType="separate"/>
              </w:r>
              <w:r>
                <w:rPr>
                  <w:rStyle w:val="33"/>
                  <w:rFonts w:hint="default" w:ascii="黑体" w:hAnsi="黑体" w:eastAsia="黑体"/>
                  <w:sz w:val="28"/>
                  <w:szCs w:val="28"/>
                </w:rPr>
                <w:t>（三）完善金融风险防控机制</w:t>
              </w:r>
              <w:r>
                <w:rPr>
                  <w:sz w:val="28"/>
                  <w:szCs w:val="28"/>
                </w:rPr>
                <w:tab/>
              </w:r>
              <w:r>
                <w:rPr>
                  <w:sz w:val="28"/>
                  <w:szCs w:val="28"/>
                </w:rPr>
                <w:fldChar w:fldCharType="begin"/>
              </w:r>
              <w:r>
                <w:rPr>
                  <w:sz w:val="28"/>
                  <w:szCs w:val="28"/>
                </w:rPr>
                <w:instrText xml:space="preserve"> PAGEREF _Toc63166588 \h </w:instrText>
              </w:r>
              <w:r>
                <w:rPr>
                  <w:sz w:val="28"/>
                  <w:szCs w:val="28"/>
                </w:rPr>
                <w:fldChar w:fldCharType="separate"/>
              </w:r>
              <w:r>
                <w:rPr>
                  <w:sz w:val="28"/>
                  <w:szCs w:val="28"/>
                </w:rPr>
                <w:t>40</w:t>
              </w:r>
              <w:r>
                <w:rPr>
                  <w:sz w:val="28"/>
                  <w:szCs w:val="28"/>
                </w:rPr>
                <w:fldChar w:fldCharType="end"/>
              </w:r>
              <w:r>
                <w:rPr>
                  <w:sz w:val="28"/>
                  <w:szCs w:val="28"/>
                </w:rPr>
                <w:fldChar w:fldCharType="end"/>
              </w:r>
            </w:p>
            <w:p>
              <w:pPr>
                <w:pStyle w:val="22"/>
                <w:tabs>
                  <w:tab w:val="right" w:leader="dot" w:pos="8296"/>
                </w:tabs>
                <w:rPr>
                  <w:rFonts w:eastAsiaTheme="minorEastAsia" w:cstheme="minorBidi"/>
                  <w:smallCaps w:val="0"/>
                  <w:sz w:val="28"/>
                  <w:szCs w:val="28"/>
                </w:rPr>
              </w:pPr>
              <w:r>
                <w:fldChar w:fldCharType="begin"/>
              </w:r>
              <w:r>
                <w:instrText xml:space="preserve"> HYPERLINK \l "_Toc63166589" </w:instrText>
              </w:r>
              <w:r>
                <w:fldChar w:fldCharType="separate"/>
              </w:r>
              <w:r>
                <w:rPr>
                  <w:rStyle w:val="33"/>
                  <w:rFonts w:hint="default" w:ascii="黑体" w:hAnsi="黑体" w:eastAsia="黑体"/>
                  <w:sz w:val="28"/>
                  <w:szCs w:val="28"/>
                </w:rPr>
                <w:t>（四）加强金融人才队伍建设</w:t>
              </w:r>
              <w:r>
                <w:rPr>
                  <w:sz w:val="28"/>
                  <w:szCs w:val="28"/>
                </w:rPr>
                <w:tab/>
              </w:r>
              <w:r>
                <w:rPr>
                  <w:sz w:val="28"/>
                  <w:szCs w:val="28"/>
                </w:rPr>
                <w:fldChar w:fldCharType="begin"/>
              </w:r>
              <w:r>
                <w:rPr>
                  <w:sz w:val="28"/>
                  <w:szCs w:val="28"/>
                </w:rPr>
                <w:instrText xml:space="preserve"> PAGEREF _Toc63166589 \h </w:instrText>
              </w:r>
              <w:r>
                <w:rPr>
                  <w:sz w:val="28"/>
                  <w:szCs w:val="28"/>
                </w:rPr>
                <w:fldChar w:fldCharType="separate"/>
              </w:r>
              <w:r>
                <w:rPr>
                  <w:sz w:val="28"/>
                  <w:szCs w:val="28"/>
                </w:rPr>
                <w:t>41</w:t>
              </w:r>
              <w:r>
                <w:rPr>
                  <w:sz w:val="28"/>
                  <w:szCs w:val="28"/>
                </w:rPr>
                <w:fldChar w:fldCharType="end"/>
              </w:r>
              <w:r>
                <w:rPr>
                  <w:sz w:val="28"/>
                  <w:szCs w:val="28"/>
                </w:rPr>
                <w:fldChar w:fldCharType="end"/>
              </w:r>
            </w:p>
            <w:p>
              <w:pPr>
                <w:rPr>
                  <w:rFonts w:asciiTheme="minorEastAsia" w:hAnsiTheme="minorEastAsia" w:eastAsiaTheme="minorEastAsia"/>
                  <w:sz w:val="28"/>
                  <w:szCs w:val="28"/>
                </w:rPr>
              </w:pPr>
              <w:r>
                <w:rPr>
                  <w:rFonts w:asciiTheme="minorEastAsia" w:hAnsiTheme="minorEastAsia" w:eastAsiaTheme="minorEastAsia" w:cstheme="minorHAnsi"/>
                  <w:b/>
                  <w:bCs/>
                  <w:caps/>
                  <w:sz w:val="28"/>
                  <w:szCs w:val="28"/>
                </w:rPr>
                <w:fldChar w:fldCharType="end"/>
              </w:r>
            </w:p>
          </w:sdtContent>
        </w:sdt>
        <w:p>
          <w:pPr>
            <w:adjustRightInd w:val="0"/>
            <w:snapToGrid w:val="0"/>
            <w:spacing w:line="360" w:lineRule="auto"/>
            <w:rPr>
              <w:rFonts w:ascii="华文中宋" w:hAnsi="华文中宋" w:eastAsia="华文中宋"/>
              <w:sz w:val="36"/>
              <w:szCs w:val="36"/>
            </w:rPr>
          </w:pPr>
        </w:p>
        <w:p>
          <w:pPr>
            <w:pStyle w:val="2"/>
            <w:rPr>
              <w:rFonts w:ascii="华文中宋" w:hAnsi="华文中宋" w:eastAsia="华文中宋"/>
              <w:sz w:val="36"/>
              <w:szCs w:val="36"/>
            </w:rPr>
          </w:pPr>
        </w:p>
        <w:p>
          <w:pPr>
            <w:pStyle w:val="3"/>
            <w:rPr>
              <w:rFonts w:ascii="华文中宋" w:hAnsi="华文中宋" w:eastAsia="华文中宋"/>
              <w:sz w:val="36"/>
              <w:szCs w:val="36"/>
            </w:rPr>
          </w:pPr>
        </w:p>
        <w:p>
          <w:pPr>
            <w:rPr>
              <w:rFonts w:ascii="华文中宋" w:hAnsi="华文中宋" w:eastAsia="华文中宋"/>
              <w:sz w:val="36"/>
              <w:szCs w:val="36"/>
            </w:rPr>
          </w:pPr>
        </w:p>
        <w:p>
          <w:pPr>
            <w:pStyle w:val="2"/>
            <w:rPr>
              <w:rFonts w:ascii="华文中宋" w:hAnsi="华文中宋" w:eastAsia="华文中宋"/>
              <w:sz w:val="36"/>
              <w:szCs w:val="36"/>
            </w:rPr>
          </w:pPr>
        </w:p>
        <w:p>
          <w:pPr>
            <w:pStyle w:val="3"/>
            <w:rPr>
              <w:rFonts w:ascii="华文中宋" w:hAnsi="华文中宋" w:eastAsia="华文中宋"/>
              <w:sz w:val="36"/>
              <w:szCs w:val="36"/>
            </w:rPr>
          </w:pPr>
        </w:p>
        <w:p>
          <w:pPr>
            <w:pStyle w:val="18"/>
            <w:tabs>
              <w:tab w:val="right" w:leader="dot" w:pos="8296"/>
            </w:tabs>
          </w:pPr>
        </w:p>
      </w:sdtContent>
    </w:sdt>
    <w:p>
      <w:pPr>
        <w:pStyle w:val="2"/>
      </w:pPr>
    </w:p>
    <w:p>
      <w:pPr>
        <w:adjustRightInd w:val="0"/>
        <w:snapToGrid w:val="0"/>
        <w:spacing w:line="360" w:lineRule="auto"/>
        <w:ind w:firstLine="560"/>
        <w:rPr>
          <w:rFonts w:hAnsi="黑体" w:eastAsia="仿宋_GB2312"/>
          <w:sz w:val="32"/>
          <w:szCs w:val="32"/>
        </w:rPr>
      </w:pPr>
    </w:p>
    <w:p>
      <w:pPr>
        <w:adjustRightInd w:val="0"/>
        <w:snapToGrid w:val="0"/>
        <w:spacing w:line="360" w:lineRule="auto"/>
        <w:ind w:firstLine="560"/>
        <w:rPr>
          <w:rFonts w:hAnsi="黑体" w:eastAsia="仿宋_GB2312"/>
          <w:sz w:val="32"/>
          <w:szCs w:val="32"/>
        </w:rPr>
      </w:pPr>
      <w:r>
        <w:rPr>
          <w:rFonts w:hint="eastAsia" w:hAnsi="黑体" w:eastAsia="仿宋_GB2312"/>
          <w:sz w:val="32"/>
          <w:szCs w:val="32"/>
        </w:rPr>
        <w:t>“十四五”时期是永嘉高水平推进现代化建设，加快赶超跨越发展的关键五年，也是永嘉金融业从转型升级走向高质量发展的战略机遇期。科学规划金融业发展，既是促进金融更好服务实体经济、深化金融供给侧结构性改革的本质要求，也是提升金融业自身发展地位和产业贡献度的内在需求。根据国家、省市金融工作方针政策和《永嘉县国民经济和社会发展第十四个五年规划和2035年远景目标纲要》文件要求，制定《永嘉现代金融产业发展“十四五”规划》，以指导未来五年永嘉金融业实现更高水平、更高质量、更具效率、更加安全发展。</w:t>
      </w:r>
    </w:p>
    <w:p>
      <w:pPr>
        <w:pStyle w:val="4"/>
        <w:spacing w:before="0" w:beforeAutospacing="0" w:after="0" w:afterAutospacing="0" w:line="360" w:lineRule="auto"/>
        <w:ind w:firstLine="643" w:firstLineChars="200"/>
        <w:rPr>
          <w:rFonts w:ascii="黑体" w:hAnsi="黑体" w:eastAsia="黑体"/>
          <w:sz w:val="32"/>
          <w:szCs w:val="32"/>
        </w:rPr>
      </w:pPr>
      <w:bookmarkStart w:id="0" w:name="_Toc63166559"/>
      <w:r>
        <w:rPr>
          <w:rFonts w:hint="eastAsia" w:ascii="黑体" w:hAnsi="黑体" w:eastAsia="黑体"/>
          <w:sz w:val="32"/>
          <w:szCs w:val="32"/>
        </w:rPr>
        <w:t>一、 规划背景</w:t>
      </w:r>
      <w:bookmarkEnd w:id="0"/>
    </w:p>
    <w:p>
      <w:pPr>
        <w:pStyle w:val="5"/>
        <w:spacing w:before="0" w:after="0" w:line="360" w:lineRule="auto"/>
        <w:ind w:firstLine="643" w:firstLineChars="200"/>
        <w:rPr>
          <w:rFonts w:ascii="黑体" w:hAnsi="黑体" w:eastAsia="黑体"/>
        </w:rPr>
      </w:pPr>
      <w:bookmarkStart w:id="1" w:name="_Toc63166560"/>
      <w:r>
        <w:rPr>
          <w:rFonts w:hint="eastAsia" w:ascii="黑体" w:hAnsi="黑体" w:eastAsia="黑体"/>
        </w:rPr>
        <w:t>（一）成绩与经验</w:t>
      </w:r>
      <w:bookmarkEnd w:id="1"/>
    </w:p>
    <w:p>
      <w:pPr>
        <w:adjustRightInd w:val="0"/>
        <w:snapToGrid w:val="0"/>
        <w:spacing w:line="360" w:lineRule="auto"/>
        <w:ind w:firstLine="480" w:firstLineChars="150"/>
        <w:rPr>
          <w:rFonts w:hAnsi="黑体" w:eastAsia="仿宋_GB2312"/>
          <w:sz w:val="32"/>
          <w:szCs w:val="32"/>
        </w:rPr>
      </w:pPr>
      <w:r>
        <w:rPr>
          <w:rFonts w:hint="eastAsia" w:ascii="黑体" w:hAnsi="黑体" w:eastAsia="黑体"/>
          <w:sz w:val="32"/>
          <w:szCs w:val="32"/>
          <w:lang w:bidi="ar"/>
        </w:rPr>
        <w:t>“</w:t>
      </w:r>
      <w:r>
        <w:rPr>
          <w:rFonts w:hint="eastAsia" w:hAnsi="黑体" w:eastAsia="仿宋_GB2312"/>
          <w:sz w:val="32"/>
          <w:szCs w:val="32"/>
        </w:rPr>
        <w:t>十三五”期间，永嘉县坚定践行习近平总书记关于金融工作重要论述，坚决贯彻落实中央、省市经济金融工作精神，特别是按照温州金融综合改革试验区部署要求，坚持“服务地方经济、服务小微企业、服务城乡居民”工作定位，积极推动金融供给侧结构性改革，推动金融机构差异化、特色化、专业化发展，金融产业呈现高质量发展良好态势。</w:t>
      </w:r>
    </w:p>
    <w:p>
      <w:pPr>
        <w:numPr>
          <w:ilvl w:val="255"/>
          <w:numId w:val="0"/>
        </w:num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lang w:bidi="ar"/>
        </w:rPr>
        <w:t>1、金融支撑作用明显提升。</w:t>
      </w:r>
      <w:r>
        <w:rPr>
          <w:rFonts w:hint="eastAsia" w:hAnsi="仿宋_GB2312" w:eastAsia="仿宋_GB2312" w:cs="仿宋_GB2312"/>
          <w:sz w:val="32"/>
          <w:szCs w:val="32"/>
          <w:lang w:bidi="ar"/>
        </w:rPr>
        <w:t>全县金融业规模稳定增长，全力支持实体经济发展。</w:t>
      </w:r>
      <w:r>
        <w:rPr>
          <w:rFonts w:hint="eastAsia" w:hAnsi="黑体" w:eastAsia="仿宋_GB2312"/>
          <w:sz w:val="32"/>
          <w:szCs w:val="32"/>
        </w:rPr>
        <w:t>至2020年末，金融业实现增加值29.7亿元，比2015年末增长29.9%，占GDP比重6.4%，对经济增长的贡献率达到17.9%；</w:t>
      </w:r>
      <w:r>
        <w:rPr>
          <w:rFonts w:hint="eastAsia" w:hAnsi="仿宋_GB2312" w:eastAsia="仿宋_GB2312" w:cs="仿宋_GB2312"/>
          <w:sz w:val="32"/>
          <w:szCs w:val="32"/>
        </w:rPr>
        <w:t>全县本外币存贷款余额18</w:t>
      </w:r>
      <w:r>
        <w:rPr>
          <w:rFonts w:hint="eastAsia" w:hAnsi="仿宋_GB2312" w:eastAsia="仿宋_GB2312" w:cs="仿宋_GB2312"/>
          <w:sz w:val="32"/>
          <w:szCs w:val="32"/>
          <w:lang w:val="en-US" w:eastAsia="zh-CN"/>
        </w:rPr>
        <w:t>27</w:t>
      </w:r>
      <w:r>
        <w:rPr>
          <w:rFonts w:hint="eastAsia" w:hAnsi="仿宋_GB2312" w:eastAsia="仿宋_GB2312" w:cs="仿宋_GB2312"/>
          <w:sz w:val="32"/>
          <w:szCs w:val="32"/>
        </w:rPr>
        <w:t>.</w:t>
      </w:r>
      <w:r>
        <w:rPr>
          <w:rFonts w:hint="eastAsia" w:hAnsi="仿宋_GB2312" w:eastAsia="仿宋_GB2312" w:cs="仿宋_GB2312"/>
          <w:sz w:val="32"/>
          <w:szCs w:val="32"/>
          <w:lang w:val="en-US" w:eastAsia="zh-CN"/>
        </w:rPr>
        <w:t>1</w:t>
      </w:r>
      <w:r>
        <w:rPr>
          <w:rFonts w:hint="eastAsia" w:hAnsi="仿宋_GB2312" w:eastAsia="仿宋_GB2312" w:cs="仿宋_GB2312"/>
          <w:sz w:val="32"/>
          <w:szCs w:val="32"/>
        </w:rPr>
        <w:t>亿元，增速21.3%，增量增速均为近7年新高，</w:t>
      </w:r>
      <w:r>
        <w:rPr>
          <w:rFonts w:hint="eastAsia" w:hAnsi="黑体" w:eastAsia="仿宋_GB2312"/>
          <w:sz w:val="32"/>
          <w:szCs w:val="32"/>
        </w:rPr>
        <w:t>居9个县（市区）第四位；保险市场规模不断扩大，保险服务经济社会覆盖面和渗透率显著提升，实现保费收入达21.9亿元。</w:t>
      </w:r>
    </w:p>
    <w:p>
      <w:pPr>
        <w:adjustRightInd w:val="0"/>
        <w:snapToGrid w:val="0"/>
        <w:spacing w:line="360" w:lineRule="auto"/>
        <w:ind w:firstLine="640" w:firstLineChars="200"/>
        <w:rPr>
          <w:rFonts w:hAnsi="仿宋_GB2312" w:eastAsia="仿宋_GB2312" w:cs="仿宋_GB2312"/>
          <w:color w:val="000000"/>
          <w:kern w:val="0"/>
          <w:sz w:val="31"/>
          <w:szCs w:val="31"/>
          <w:lang w:bidi="ar"/>
        </w:rPr>
      </w:pPr>
      <w:r>
        <w:rPr>
          <w:rFonts w:hint="eastAsia" w:ascii="黑体" w:hAnsi="黑体" w:eastAsia="黑体"/>
          <w:sz w:val="32"/>
          <w:szCs w:val="32"/>
          <w:lang w:bidi="ar"/>
        </w:rPr>
        <w:t>2、金融组织业态明显完善。</w:t>
      </w:r>
      <w:r>
        <w:rPr>
          <w:rFonts w:hint="eastAsia" w:hAnsi="黑体" w:eastAsia="仿宋_GB2312"/>
          <w:sz w:val="32"/>
          <w:szCs w:val="32"/>
        </w:rPr>
        <w:t>全县形成了以传统金融业为主体，新型金融组织为补充，直接融资与间接融资相得益彰的金融组织业态体系。截至2020年底，全县拥有银行业金融机构23家，</w:t>
      </w:r>
      <w:r>
        <w:rPr>
          <w:rFonts w:hint="eastAsia" w:hAnsi="仿宋_GB2312" w:eastAsia="仿宋_GB2312" w:cs="仿宋_GB2312"/>
          <w:sz w:val="32"/>
          <w:szCs w:val="32"/>
        </w:rPr>
        <w:t>新设小微专营支行10家，社区银行5家，支农服务网点</w:t>
      </w:r>
      <w:r>
        <w:rPr>
          <w:rFonts w:hint="eastAsia" w:hAnsi="黑体" w:eastAsia="仿宋_GB2312"/>
          <w:sz w:val="32"/>
          <w:szCs w:val="32"/>
        </w:rPr>
        <w:t>实现全县所有村（社区）全覆盖；共有证券公司营业机构4家，保险公司机构19家，小额贷款公司、民间借贷中心、民间资本管理公司、农村互助会等新型地方金融</w:t>
      </w:r>
      <w:r>
        <w:rPr>
          <w:rFonts w:hint="eastAsia" w:hAnsi="仿宋_GB2312" w:eastAsia="仿宋_GB2312" w:cs="仿宋_GB2312"/>
          <w:color w:val="000000"/>
          <w:kern w:val="0"/>
          <w:sz w:val="31"/>
          <w:szCs w:val="31"/>
          <w:lang w:bidi="ar"/>
        </w:rPr>
        <w:t>组织机构共</w:t>
      </w:r>
      <w:r>
        <w:rPr>
          <w:rFonts w:hint="eastAsia" w:hAnsi="黑体" w:eastAsia="仿宋_GB2312"/>
          <w:sz w:val="32"/>
          <w:szCs w:val="32"/>
        </w:rPr>
        <w:t>15</w:t>
      </w:r>
      <w:r>
        <w:rPr>
          <w:rFonts w:hint="eastAsia" w:hAnsi="仿宋_GB2312" w:eastAsia="仿宋_GB2312" w:cs="仿宋_GB2312"/>
          <w:color w:val="000000"/>
          <w:kern w:val="0"/>
          <w:sz w:val="31"/>
          <w:szCs w:val="31"/>
          <w:lang w:bidi="ar"/>
        </w:rPr>
        <w:t>家。</w:t>
      </w:r>
    </w:p>
    <w:p>
      <w:pPr>
        <w:adjustRightInd w:val="0"/>
        <w:snapToGrid w:val="0"/>
        <w:spacing w:line="360" w:lineRule="auto"/>
        <w:ind w:firstLine="640" w:firstLineChars="200"/>
        <w:rPr>
          <w:rFonts w:hAnsi="仿宋_GB2312" w:eastAsia="仿宋_GB2312" w:cs="仿宋_GB2312"/>
          <w:sz w:val="32"/>
          <w:szCs w:val="32"/>
          <w:lang w:bidi="ar"/>
        </w:rPr>
      </w:pPr>
      <w:r>
        <w:rPr>
          <w:rFonts w:hint="eastAsia" w:ascii="黑体" w:hAnsi="黑体" w:eastAsia="黑体"/>
          <w:sz w:val="32"/>
          <w:szCs w:val="32"/>
          <w:lang w:bidi="ar"/>
        </w:rPr>
        <w:t>3、金融创新产品明显丰富。</w:t>
      </w:r>
      <w:r>
        <w:rPr>
          <w:rFonts w:hint="eastAsia" w:hAnsi="仿宋_GB2312" w:eastAsia="仿宋_GB2312" w:cs="仿宋_GB2312"/>
          <w:sz w:val="32"/>
          <w:szCs w:val="32"/>
          <w:lang w:bidi="ar"/>
        </w:rPr>
        <w:t>各类金融机构的产品与服务推陈出新，个性化、定制化产品不断涌现，逐步形成种类齐全、功能完善、覆盖广泛的金融产品服务体系。创建特色普惠金融产品畅通融资渠道，规范不动产顺位抵押工作，推出“民宿经营权抵押贷款”及具有永嘉特色的“农抵E贷”等多种融资产品。截至2020年底，已办理顺位抵押登记570笔，抵押金额21.2亿元；累计为县域内103家民宿经营者融资3203万元。</w:t>
      </w:r>
    </w:p>
    <w:p>
      <w:p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lang w:bidi="ar"/>
        </w:rPr>
        <w:t>4、资本对接能力明显提高。</w:t>
      </w:r>
      <w:r>
        <w:rPr>
          <w:rFonts w:hint="eastAsia" w:hAnsi="黑体" w:eastAsia="仿宋_GB2312"/>
          <w:sz w:val="32"/>
          <w:szCs w:val="32"/>
        </w:rPr>
        <w:t>上市梯度培育工作扎实推进，实施好“凤凰”行动，打好“企业培育、政策解读、资金扶持”组合拳，骨干企业、龙头企业和“专精特新”企业的现代化管理水平明显提升，资本市场“永嘉板块”初具雏形。截至2020年底，全县境内外上市公司累计5家，融资额累计达35.9亿元；累计4家企业在新三板挂牌；股份制改造企业189家，拟上市企业8家，培育企业13家；全县发债融资36亿元。</w:t>
      </w:r>
    </w:p>
    <w:p>
      <w:p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lang w:bidi="ar"/>
        </w:rPr>
        <w:t>5、风险管控能力明显增强。</w:t>
      </w:r>
      <w:r>
        <w:rPr>
          <w:rFonts w:hint="eastAsia" w:hAnsi="黑体" w:eastAsia="仿宋_GB2312"/>
          <w:sz w:val="32"/>
          <w:szCs w:val="32"/>
        </w:rPr>
        <w:t>建立完善县处置办、政府应急转贷工作机制，形成了政府监管、行业自律、企业内控和社会监督“四位一体”的地方金融风险监管体系。按照“化解一批风险企业、帮扶一批困难企业、脱链一批关联企业”的工作思路，累计提供应急转贷资金32.2亿元，开展帮扶520余次，化解市级重大担保圈5个，企业“两链”风险有效化解，非法集资案件稳妥处置，金融风险管控成效显著，获得市、县有关领导高度肯定。2020年末，全县不良贷款率为0.55%，低于全市平均水平，金融生态保持全市优良。</w:t>
      </w:r>
    </w:p>
    <w:p>
      <w:p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lang w:bidi="ar"/>
        </w:rPr>
        <w:t>6、金融协调机制明显改善。</w:t>
      </w:r>
      <w:r>
        <w:rPr>
          <w:rFonts w:hint="eastAsia" w:hAnsi="黑体" w:eastAsia="仿宋_GB2312"/>
          <w:sz w:val="32"/>
          <w:szCs w:val="32"/>
        </w:rPr>
        <w:t>围绕政银法企联动，适时推出司法调解相关政策，形成了企业金融风险化解的政策支撑体系。出台《永嘉县地方金融监管协调机制》，成立永嘉金融纠纷行政调解室，健全金融纠纷行政调解工作流程和措施，完成金融纠纷案10件；充分发挥基本社会治理“一张网”作用，深化民间投融资领域涉稳信息网络化管理，开展网格化风险排查50次，累计检查股权众筹类、P2P、投资咨询公司、互联网资产管理等企业30户，实现各类违规网贷平台出清。</w:t>
      </w:r>
    </w:p>
    <w:p>
      <w:pPr>
        <w:adjustRightInd w:val="0"/>
        <w:snapToGrid w:val="0"/>
        <w:spacing w:line="360" w:lineRule="auto"/>
        <w:ind w:firstLine="210" w:firstLineChars="100"/>
        <w:rPr>
          <w:rFonts w:hAnsi="仿宋_GB2312" w:eastAsia="仿宋_GB2312" w:cs="仿宋_GB2312"/>
          <w:color w:val="000000"/>
          <w:kern w:val="0"/>
          <w:sz w:val="24"/>
          <w:u w:val="single"/>
          <w:lang w:bidi="ar"/>
        </w:rPr>
      </w:pPr>
      <w:r>
        <w:rPr>
          <w:rFonts w:hint="eastAsia"/>
        </w:rPr>
        <w:t xml:space="preserve">   </w:t>
      </w:r>
      <w:r>
        <w:drawing>
          <wp:inline distT="0" distB="0" distL="0" distR="0">
            <wp:extent cx="4584700" cy="2786380"/>
            <wp:effectExtent l="0" t="0" r="635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584700" cy="2786380"/>
                    </a:xfrm>
                    <a:prstGeom prst="rect">
                      <a:avLst/>
                    </a:prstGeom>
                    <a:noFill/>
                  </pic:spPr>
                </pic:pic>
              </a:graphicData>
            </a:graphic>
          </wp:inline>
        </w:drawing>
      </w:r>
    </w:p>
    <w:p>
      <w:pPr>
        <w:widowControl/>
        <w:adjustRightInd w:val="0"/>
        <w:snapToGrid w:val="0"/>
        <w:spacing w:line="360" w:lineRule="auto"/>
        <w:jc w:val="left"/>
        <w:rPr>
          <w:rFonts w:hAnsi="仿宋_GB2312" w:eastAsia="仿宋_GB2312" w:cs="仿宋_GB2312"/>
          <w:color w:val="000000"/>
          <w:kern w:val="0"/>
          <w:sz w:val="31"/>
          <w:szCs w:val="31"/>
          <w:lang w:bidi="ar"/>
        </w:rPr>
      </w:pPr>
      <w:r>
        <w:rPr>
          <w:rFonts w:hint="eastAsia" w:hAnsi="仿宋_GB2312" w:eastAsia="仿宋_GB2312" w:cs="仿宋_GB2312"/>
          <w:color w:val="000000"/>
          <w:kern w:val="0"/>
          <w:sz w:val="24"/>
          <w:lang w:bidi="ar"/>
        </w:rPr>
        <w:t xml:space="preserve">             </w:t>
      </w:r>
      <w:r>
        <w:rPr>
          <w:rFonts w:hAnsi="仿宋_GB2312" w:eastAsia="仿宋_GB2312" w:cs="仿宋_GB2312"/>
          <w:color w:val="000000"/>
          <w:kern w:val="0"/>
          <w:sz w:val="24"/>
          <w:lang w:bidi="ar"/>
        </w:rPr>
        <w:t>图1</w:t>
      </w:r>
      <w:r>
        <w:rPr>
          <w:rFonts w:hint="eastAsia" w:hAnsi="仿宋_GB2312" w:eastAsia="仿宋_GB2312" w:cs="仿宋_GB2312"/>
          <w:color w:val="000000"/>
          <w:kern w:val="0"/>
          <w:sz w:val="24"/>
          <w:lang w:bidi="ar"/>
        </w:rPr>
        <w:t xml:space="preserve"> </w:t>
      </w:r>
      <w:r>
        <w:rPr>
          <w:rFonts w:hAnsi="仿宋_GB2312" w:eastAsia="仿宋_GB2312" w:cs="仿宋_GB2312"/>
          <w:color w:val="000000"/>
          <w:kern w:val="0"/>
          <w:sz w:val="24"/>
          <w:lang w:bidi="ar"/>
        </w:rPr>
        <w:t xml:space="preserve"> 201</w:t>
      </w:r>
      <w:r>
        <w:rPr>
          <w:rFonts w:hint="eastAsia" w:hAnsi="仿宋_GB2312" w:eastAsia="仿宋_GB2312" w:cs="仿宋_GB2312"/>
          <w:color w:val="000000"/>
          <w:kern w:val="0"/>
          <w:sz w:val="24"/>
          <w:lang w:bidi="ar"/>
        </w:rPr>
        <w:t>6</w:t>
      </w:r>
      <w:r>
        <w:rPr>
          <w:rFonts w:hAnsi="仿宋_GB2312" w:eastAsia="仿宋_GB2312" w:cs="仿宋_GB2312"/>
          <w:color w:val="000000"/>
          <w:kern w:val="0"/>
          <w:sz w:val="24"/>
          <w:lang w:bidi="ar"/>
        </w:rPr>
        <w:t>-20</w:t>
      </w:r>
      <w:r>
        <w:rPr>
          <w:rFonts w:hint="eastAsia" w:hAnsi="仿宋_GB2312" w:eastAsia="仿宋_GB2312" w:cs="仿宋_GB2312"/>
          <w:color w:val="000000"/>
          <w:kern w:val="0"/>
          <w:sz w:val="24"/>
          <w:lang w:bidi="ar"/>
        </w:rPr>
        <w:t>20</w:t>
      </w:r>
      <w:r>
        <w:rPr>
          <w:rFonts w:hAnsi="仿宋_GB2312" w:eastAsia="仿宋_GB2312" w:cs="仿宋_GB2312"/>
          <w:color w:val="000000"/>
          <w:kern w:val="0"/>
          <w:sz w:val="24"/>
          <w:lang w:bidi="ar"/>
        </w:rPr>
        <w:t>年</w:t>
      </w:r>
      <w:r>
        <w:rPr>
          <w:rFonts w:hint="eastAsia" w:hAnsi="仿宋_GB2312" w:eastAsia="仿宋_GB2312" w:cs="仿宋_GB2312"/>
          <w:color w:val="000000"/>
          <w:kern w:val="0"/>
          <w:sz w:val="24"/>
          <w:lang w:bidi="ar"/>
        </w:rPr>
        <w:t xml:space="preserve"> </w:t>
      </w:r>
      <w:r>
        <w:rPr>
          <w:rFonts w:hAnsi="仿宋_GB2312" w:eastAsia="仿宋_GB2312" w:cs="仿宋_GB2312"/>
          <w:color w:val="000000"/>
          <w:kern w:val="0"/>
          <w:sz w:val="24"/>
          <w:lang w:bidi="ar"/>
        </w:rPr>
        <w:t>金融业增加值及其占GDP比例</w:t>
      </w:r>
    </w:p>
    <w:p>
      <w:pPr>
        <w:widowControl/>
        <w:adjustRightInd w:val="0"/>
        <w:snapToGrid w:val="0"/>
        <w:spacing w:line="360" w:lineRule="auto"/>
        <w:ind w:firstLine="210" w:firstLineChars="100"/>
        <w:jc w:val="left"/>
      </w:pPr>
      <w:r>
        <w:rPr>
          <w:rFonts w:hint="eastAsia"/>
        </w:rPr>
        <w:t xml:space="preserve">  </w:t>
      </w:r>
      <w:r>
        <w:drawing>
          <wp:inline distT="0" distB="0" distL="0" distR="0">
            <wp:extent cx="4578350" cy="282892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578350" cy="2828925"/>
                    </a:xfrm>
                    <a:prstGeom prst="rect">
                      <a:avLst/>
                    </a:prstGeom>
                    <a:noFill/>
                  </pic:spPr>
                </pic:pic>
              </a:graphicData>
            </a:graphic>
          </wp:inline>
        </w:drawing>
      </w:r>
    </w:p>
    <w:p>
      <w:pPr>
        <w:widowControl/>
        <w:adjustRightInd w:val="0"/>
        <w:snapToGrid w:val="0"/>
        <w:spacing w:line="360" w:lineRule="auto"/>
        <w:ind w:firstLine="1200" w:firstLineChars="500"/>
        <w:jc w:val="left"/>
        <w:rPr>
          <w:rFonts w:hAnsi="仿宋_GB2312" w:eastAsia="仿宋_GB2312" w:cs="仿宋_GB2312"/>
          <w:color w:val="000000"/>
          <w:kern w:val="0"/>
          <w:sz w:val="24"/>
          <w:lang w:bidi="ar"/>
        </w:rPr>
      </w:pPr>
      <w:r>
        <w:rPr>
          <w:rFonts w:hAnsi="仿宋_GB2312" w:eastAsia="仿宋_GB2312" w:cs="仿宋_GB2312"/>
          <w:color w:val="000000"/>
          <w:kern w:val="0"/>
          <w:sz w:val="24"/>
          <w:lang w:bidi="ar"/>
        </w:rPr>
        <w:t>图2 永嘉县金融机构本外币各项存款余额及上年增长率</w:t>
      </w:r>
    </w:p>
    <w:p>
      <w:pPr>
        <w:widowControl/>
        <w:adjustRightInd w:val="0"/>
        <w:snapToGrid w:val="0"/>
        <w:spacing w:line="360" w:lineRule="auto"/>
        <w:ind w:firstLine="210" w:firstLineChars="100"/>
        <w:jc w:val="left"/>
        <w:rPr>
          <w:rFonts w:hAnsi="仿宋_GB2312" w:eastAsia="仿宋_GB2312" w:cs="仿宋_GB2312"/>
          <w:color w:val="000000"/>
          <w:kern w:val="0"/>
          <w:sz w:val="31"/>
          <w:szCs w:val="31"/>
          <w:u w:val="single"/>
          <w:lang w:bidi="ar"/>
        </w:rPr>
      </w:pPr>
      <w:r>
        <w:rPr>
          <w:rFonts w:hint="eastAsia"/>
        </w:rPr>
        <w:t xml:space="preserve">  </w:t>
      </w:r>
      <w:r>
        <w:drawing>
          <wp:inline distT="0" distB="0" distL="0" distR="0">
            <wp:extent cx="4578350" cy="2828925"/>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78350" cy="2828925"/>
                    </a:xfrm>
                    <a:prstGeom prst="rect">
                      <a:avLst/>
                    </a:prstGeom>
                    <a:noFill/>
                  </pic:spPr>
                </pic:pic>
              </a:graphicData>
            </a:graphic>
          </wp:inline>
        </w:drawing>
      </w:r>
    </w:p>
    <w:p>
      <w:pPr>
        <w:widowControl/>
        <w:adjustRightInd w:val="0"/>
        <w:snapToGrid w:val="0"/>
        <w:spacing w:line="360" w:lineRule="auto"/>
        <w:ind w:firstLine="1200" w:firstLineChars="500"/>
        <w:jc w:val="left"/>
        <w:rPr>
          <w:rFonts w:hAnsi="仿宋_GB2312" w:eastAsia="仿宋_GB2312" w:cs="仿宋_GB2312"/>
          <w:color w:val="000000"/>
          <w:kern w:val="0"/>
          <w:sz w:val="24"/>
          <w:lang w:bidi="ar"/>
        </w:rPr>
      </w:pPr>
      <w:r>
        <w:rPr>
          <w:rFonts w:hAnsi="仿宋_GB2312" w:eastAsia="仿宋_GB2312" w:cs="仿宋_GB2312"/>
          <w:color w:val="000000"/>
          <w:kern w:val="0"/>
          <w:sz w:val="24"/>
          <w:lang w:bidi="ar"/>
        </w:rPr>
        <w:t>图3 永嘉县金融机构本外币各项贷款余额及比上年增长率</w:t>
      </w:r>
    </w:p>
    <w:p>
      <w:pPr>
        <w:adjustRightInd w:val="0"/>
        <w:snapToGrid w:val="0"/>
        <w:spacing w:line="360" w:lineRule="auto"/>
        <w:ind w:firstLine="560"/>
        <w:rPr>
          <w:rFonts w:hAnsi="黑体" w:eastAsia="仿宋_GB2312"/>
          <w:sz w:val="32"/>
          <w:szCs w:val="32"/>
        </w:rPr>
      </w:pPr>
      <w:r>
        <w:rPr>
          <w:rFonts w:hAnsi="黑体" w:eastAsia="仿宋_GB2312"/>
          <w:sz w:val="32"/>
          <w:szCs w:val="32"/>
        </w:rPr>
        <w:t>五年来永嘉金融改革发展成功</w:t>
      </w:r>
      <w:r>
        <w:rPr>
          <w:rFonts w:hint="eastAsia" w:hAnsi="黑体" w:eastAsia="仿宋_GB2312"/>
          <w:sz w:val="32"/>
          <w:szCs w:val="32"/>
        </w:rPr>
        <w:t>实践，把上级要求与县域实情有机结合起来，找准贯彻落实的切入点和发力点，创造性开展工作，形成了许多值得继续深化、并要始终坚持的宝贵经验。主要有5点：</w:t>
      </w:r>
      <w:r>
        <w:rPr>
          <w:rFonts w:hint="eastAsia" w:ascii="黑体" w:hAnsi="黑体" w:eastAsia="黑体"/>
          <w:sz w:val="32"/>
          <w:szCs w:val="32"/>
          <w:lang w:bidi="ar"/>
        </w:rPr>
        <w:t>一是政银企协同是重要保障</w:t>
      </w:r>
      <w:r>
        <w:rPr>
          <w:rFonts w:hint="eastAsia" w:hAnsi="仿宋_GB2312" w:eastAsia="仿宋_GB2312" w:cs="仿宋_GB2312"/>
          <w:sz w:val="32"/>
          <w:szCs w:val="32"/>
        </w:rPr>
        <w:t>。这几年永嘉金融生态相对较好，得益于树立政银企生命共同体理念，把“政银企协同”作为优化营商环境的重要一招，以政府有效作为架起沟通桥梁，打破协调壁垒、信息障碍，推动构建融洽银企关系。</w:t>
      </w:r>
      <w:r>
        <w:rPr>
          <w:rFonts w:hint="eastAsia" w:ascii="黑体" w:hAnsi="黑体" w:eastAsia="黑体"/>
          <w:sz w:val="32"/>
          <w:szCs w:val="32"/>
          <w:lang w:bidi="ar"/>
        </w:rPr>
        <w:t>二是坚持底线思维是基本原则</w:t>
      </w:r>
      <w:r>
        <w:rPr>
          <w:rFonts w:hint="eastAsia" w:hAnsi="仿宋_GB2312" w:eastAsia="仿宋_GB2312" w:cs="仿宋_GB2312"/>
          <w:sz w:val="30"/>
          <w:szCs w:val="30"/>
        </w:rPr>
        <w:t>。</w:t>
      </w:r>
      <w:r>
        <w:rPr>
          <w:rFonts w:hint="eastAsia" w:hAnsi="仿宋_GB2312" w:eastAsia="仿宋_GB2312" w:cs="仿宋_GB2312"/>
          <w:sz w:val="32"/>
          <w:szCs w:val="32"/>
        </w:rPr>
        <w:t>面对日益复杂严峻的国际形势和日益增多的不确定因素，始终把风险防控摆在突出位置，抽丝剥茧、化圈解链妥善处置“两链”风险和担保圈问题，维护全县企业健康发展，化解金融风险、护航安全发展。</w:t>
      </w:r>
      <w:r>
        <w:rPr>
          <w:rFonts w:hint="eastAsia" w:ascii="黑体" w:hAnsi="黑体" w:eastAsia="黑体"/>
          <w:sz w:val="32"/>
          <w:szCs w:val="32"/>
          <w:lang w:bidi="ar"/>
        </w:rPr>
        <w:t>三是突出精准服务是重要方法</w:t>
      </w:r>
      <w:r>
        <w:rPr>
          <w:rFonts w:hint="eastAsia" w:hAnsi="黑体" w:eastAsia="仿宋_GB2312"/>
          <w:sz w:val="32"/>
          <w:szCs w:val="32"/>
        </w:rPr>
        <w:t>。政府服务、金融服务切入口、着力点越精准就越有效，瞄准企业全生命周期发展所需，针对中小微企业经营困难，深入开展金融领域“三服务”工作，达到了雪中送炭、精准滴灌实效。</w:t>
      </w:r>
      <w:r>
        <w:rPr>
          <w:rFonts w:hint="eastAsia" w:ascii="黑体" w:hAnsi="黑体" w:eastAsia="黑体"/>
          <w:sz w:val="32"/>
          <w:szCs w:val="32"/>
          <w:lang w:bidi="ar"/>
        </w:rPr>
        <w:t>四是强化改革创新是核心动力</w:t>
      </w:r>
      <w:r>
        <w:rPr>
          <w:rFonts w:hint="eastAsia" w:hAnsi="仿宋_GB2312" w:eastAsia="仿宋_GB2312" w:cs="仿宋_GB2312"/>
          <w:sz w:val="30"/>
          <w:szCs w:val="30"/>
        </w:rPr>
        <w:t>。</w:t>
      </w:r>
      <w:r>
        <w:rPr>
          <w:rFonts w:hint="eastAsia" w:hAnsi="黑体" w:eastAsia="仿宋_GB2312"/>
          <w:sz w:val="32"/>
          <w:szCs w:val="32"/>
        </w:rPr>
        <w:t>把金融发展放到科技变革和产业革命的浪潮中考量，鼓励金融机构用好金融综合改革的红利，抢抓数字化变革的时代机遇，实现了金融创新与产业创新、技术创新、市场创新同频共振、互促共进。</w:t>
      </w:r>
      <w:r>
        <w:rPr>
          <w:rFonts w:hint="eastAsia" w:ascii="黑体" w:hAnsi="黑体" w:eastAsia="黑体"/>
          <w:sz w:val="32"/>
          <w:szCs w:val="32"/>
          <w:lang w:bidi="ar"/>
        </w:rPr>
        <w:t>五是根植实体经济是本质要求</w:t>
      </w:r>
      <w:r>
        <w:rPr>
          <w:rFonts w:hint="eastAsia" w:hAnsi="黑体" w:eastAsia="仿宋_GB2312"/>
          <w:sz w:val="32"/>
          <w:szCs w:val="32"/>
        </w:rPr>
        <w:t>。立足永嘉产业特色，推动金融机构找准发展定位、创新方向，与目标企业、细分行业良性互动，引导金融活水不断灌溉产业集群的沃土。</w:t>
      </w:r>
    </w:p>
    <w:p>
      <w:pPr>
        <w:adjustRightInd w:val="0"/>
        <w:snapToGrid w:val="0"/>
        <w:spacing w:line="360" w:lineRule="auto"/>
        <w:ind w:firstLine="321" w:firstLineChars="100"/>
        <w:rPr>
          <w:rFonts w:ascii="黑体" w:hAnsi="黑体" w:eastAsia="黑体" w:cs="黑体"/>
          <w:b/>
          <w:bCs/>
          <w:sz w:val="32"/>
          <w:szCs w:val="32"/>
        </w:rPr>
      </w:pPr>
      <w:bookmarkStart w:id="2" w:name="_Toc63166561"/>
      <w:r>
        <w:rPr>
          <w:rFonts w:hint="eastAsia" w:ascii="黑体" w:hAnsi="黑体" w:eastAsia="黑体" w:cs="黑体"/>
          <w:b/>
          <w:bCs/>
          <w:sz w:val="32"/>
          <w:szCs w:val="32"/>
        </w:rPr>
        <w:t>（二）短板与问题</w:t>
      </w:r>
      <w:bookmarkEnd w:id="2"/>
    </w:p>
    <w:p>
      <w:pPr>
        <w:adjustRightInd w:val="0"/>
        <w:snapToGrid w:val="0"/>
        <w:spacing w:line="360" w:lineRule="auto"/>
        <w:ind w:firstLine="560"/>
        <w:rPr>
          <w:rFonts w:hAnsi="黑体" w:eastAsia="仿宋_GB2312"/>
          <w:sz w:val="32"/>
          <w:szCs w:val="32"/>
        </w:rPr>
      </w:pPr>
      <w:r>
        <w:rPr>
          <w:rFonts w:hint="eastAsia" w:hAnsi="黑体" w:eastAsia="仿宋_GB2312"/>
          <w:sz w:val="32"/>
          <w:szCs w:val="32"/>
        </w:rPr>
        <w:t>进入新发展阶段，金融高质量发展的潜力就在于破解金融供需的结构性体制性矛盾。当前，金融供给侧结构性改革进入了深水区、攻坚期，中小微企业和民营企业融资难融资贵问题依然存在，金融供给结构与实体经济需求结构还存在许多不适应、不匹配地方，与高水平现代化建设仍有不少差距。主要体现以下几个问题：</w:t>
      </w:r>
    </w:p>
    <w:p>
      <w:pPr>
        <w:adjustRightInd w:val="0"/>
        <w:snapToGrid w:val="0"/>
        <w:spacing w:line="360" w:lineRule="auto"/>
        <w:ind w:firstLine="560"/>
        <w:rPr>
          <w:rFonts w:hAnsi="黑体" w:eastAsia="仿宋_GB2312"/>
          <w:sz w:val="32"/>
          <w:szCs w:val="32"/>
        </w:rPr>
      </w:pPr>
      <w:r>
        <w:rPr>
          <w:rFonts w:hint="eastAsia" w:ascii="黑体" w:hAnsi="黑体" w:eastAsia="黑体"/>
          <w:sz w:val="32"/>
          <w:szCs w:val="32"/>
        </w:rPr>
        <w:t>1、银行信贷结构失衡问题</w:t>
      </w:r>
      <w:r>
        <w:rPr>
          <w:rFonts w:hint="eastAsia" w:hAnsi="黑体" w:eastAsia="仿宋_GB2312"/>
          <w:sz w:val="32"/>
          <w:szCs w:val="32"/>
        </w:rPr>
        <w:t>。“十三五”期间，银行业发放总信贷达3277亿元，金融供给总体是充分的，但结构并不合理，资源加速流向国有企业、政府平台和房地产等领域，对民营企业挤出效应较大，存在供给“二元”结构现象和脱实向虚迹象。2020年制造业贷款占比18.5%，同比降低了1.29个百分点,小微企业贷款仅占14.4%多一点。</w:t>
      </w:r>
    </w:p>
    <w:p>
      <w:pPr>
        <w:adjustRightInd w:val="0"/>
        <w:snapToGrid w:val="0"/>
        <w:spacing w:line="360" w:lineRule="auto"/>
        <w:ind w:firstLine="560"/>
        <w:rPr>
          <w:rFonts w:hAnsi="黑体" w:eastAsia="仿宋_GB2312"/>
          <w:sz w:val="32"/>
          <w:szCs w:val="32"/>
        </w:rPr>
      </w:pPr>
      <w:r>
        <w:rPr>
          <w:rFonts w:hint="eastAsia" w:ascii="黑体" w:hAnsi="黑体" w:eastAsia="黑体"/>
          <w:sz w:val="32"/>
          <w:szCs w:val="32"/>
        </w:rPr>
        <w:t>2、融资渠道拓展不畅问题</w:t>
      </w:r>
      <w:r>
        <w:rPr>
          <w:rFonts w:hint="eastAsia" w:hAnsi="黑体" w:eastAsia="仿宋_GB2312"/>
          <w:sz w:val="32"/>
          <w:szCs w:val="32"/>
        </w:rPr>
        <w:t>。</w:t>
      </w:r>
      <w:r>
        <w:rPr>
          <w:rFonts w:hAnsi="黑体" w:eastAsia="仿宋_GB2312"/>
          <w:sz w:val="32"/>
          <w:szCs w:val="32"/>
        </w:rPr>
        <w:t>银企信息不对称问题较为突出</w:t>
      </w:r>
      <w:r>
        <w:rPr>
          <w:rFonts w:hint="eastAsia" w:hAnsi="黑体" w:eastAsia="仿宋_GB2312"/>
          <w:sz w:val="32"/>
          <w:szCs w:val="32"/>
        </w:rPr>
        <w:t>，企业上市意愿不强，直接融资渠道特别是IPO融资明显偏少，融资渠道较为单一。特别是近年来民间借贷风险余波未了，部分银行审批权限上收，审批链条过长、效率不高，业务创新相对滞后，对</w:t>
      </w:r>
      <w:r>
        <w:rPr>
          <w:rFonts w:hAnsi="黑体" w:eastAsia="仿宋_GB2312"/>
          <w:sz w:val="32"/>
          <w:szCs w:val="32"/>
        </w:rPr>
        <w:t>初创企业特别是轻资产的科创型企业十分不利。据统计</w:t>
      </w:r>
      <w:r>
        <w:rPr>
          <w:rFonts w:hint="eastAsia" w:hAnsi="黑体" w:eastAsia="仿宋_GB2312"/>
          <w:sz w:val="32"/>
          <w:szCs w:val="32"/>
        </w:rPr>
        <w:t>，2020年全县纯信用贷款96.3亿元；上市融资、发债融资额度占社会融资余额比重较低。</w:t>
      </w:r>
    </w:p>
    <w:p>
      <w:pPr>
        <w:adjustRightInd w:val="0"/>
        <w:snapToGrid w:val="0"/>
        <w:spacing w:line="360" w:lineRule="auto"/>
        <w:ind w:firstLine="560"/>
        <w:rPr>
          <w:rFonts w:hAnsi="黑体" w:eastAsia="仿宋_GB2312"/>
          <w:sz w:val="32"/>
          <w:szCs w:val="32"/>
        </w:rPr>
      </w:pPr>
      <w:r>
        <w:rPr>
          <w:rFonts w:hint="eastAsia" w:ascii="黑体" w:hAnsi="黑体" w:eastAsia="黑体"/>
          <w:sz w:val="32"/>
          <w:szCs w:val="32"/>
        </w:rPr>
        <w:t>3、金融风险隐患管控问题</w:t>
      </w:r>
      <w:r>
        <w:rPr>
          <w:rFonts w:hint="eastAsia" w:hAnsi="黑体" w:eastAsia="仿宋_GB2312"/>
          <w:sz w:val="32"/>
          <w:szCs w:val="32"/>
        </w:rPr>
        <w:t>。金融创新和金融风险同生并存，资金链、担保网不稳定不确定因素依然存在，个别大型企业杠杆率过高，一家企业违约引发的局部性信用危机、链式反应仍有可能发生。此外，非法集资风险、上市公司股权质押问题、民营企业债务风险问题和隐患不容忽视。</w:t>
      </w:r>
    </w:p>
    <w:p>
      <w:pPr>
        <w:adjustRightInd w:val="0"/>
        <w:snapToGrid w:val="0"/>
        <w:spacing w:line="360" w:lineRule="auto"/>
        <w:ind w:firstLine="560"/>
        <w:rPr>
          <w:rFonts w:hAnsi="黑体" w:eastAsia="仿宋_GB2312"/>
          <w:sz w:val="32"/>
          <w:szCs w:val="32"/>
        </w:rPr>
      </w:pPr>
      <w:r>
        <w:rPr>
          <w:rFonts w:hint="eastAsia" w:ascii="黑体" w:hAnsi="黑体" w:eastAsia="黑体"/>
          <w:sz w:val="32"/>
          <w:szCs w:val="32"/>
        </w:rPr>
        <w:t>4、金融创新制度配套问题</w:t>
      </w:r>
      <w:r>
        <w:rPr>
          <w:rFonts w:hint="eastAsia" w:hAnsi="黑体" w:eastAsia="仿宋_GB2312"/>
          <w:sz w:val="32"/>
          <w:szCs w:val="32"/>
        </w:rPr>
        <w:t>。金融改革创新的制度基础、技术基础、市场基础不够扎实，信用体系及信用增进机制建设不够完善，金融监管协调难度较大，金融发展政策制度体系仍待进一步完善。受制于金融机关垂直管理体制，缺乏推动中央、省市普惠金融政策传导落实落细的有效抓手，金融机构“不敢贷、不愿贷、不能贷”问题仍较突出。</w:t>
      </w:r>
    </w:p>
    <w:p>
      <w:pPr>
        <w:pStyle w:val="5"/>
        <w:spacing w:before="0" w:after="0" w:line="360" w:lineRule="auto"/>
        <w:ind w:firstLine="643" w:firstLineChars="200"/>
        <w:rPr>
          <w:rFonts w:ascii="黑体" w:hAnsi="黑体" w:eastAsia="黑体"/>
        </w:rPr>
      </w:pPr>
      <w:bookmarkStart w:id="3" w:name="_Toc63166562"/>
      <w:r>
        <w:rPr>
          <w:rFonts w:hint="eastAsia" w:ascii="黑体" w:hAnsi="黑体" w:eastAsia="黑体"/>
        </w:rPr>
        <w:t>（三）形势与机遇</w:t>
      </w:r>
      <w:bookmarkEnd w:id="3"/>
    </w:p>
    <w:p>
      <w:pPr>
        <w:widowControl/>
        <w:adjustRightInd w:val="0"/>
        <w:snapToGrid w:val="0"/>
        <w:spacing w:line="360" w:lineRule="auto"/>
        <w:ind w:firstLine="624" w:firstLineChars="200"/>
        <w:jc w:val="left"/>
        <w:rPr>
          <w:rFonts w:hAnsi="Times New Roman" w:eastAsia="仿宋_GB2312"/>
          <w:spacing w:val="-4"/>
          <w:sz w:val="32"/>
          <w:szCs w:val="32"/>
          <w:lang w:bidi="ar"/>
        </w:rPr>
      </w:pPr>
      <w:r>
        <w:rPr>
          <w:rFonts w:hint="eastAsia" w:hAnsi="Times New Roman" w:eastAsia="仿宋_GB2312"/>
          <w:spacing w:val="-4"/>
          <w:sz w:val="32"/>
          <w:szCs w:val="32"/>
          <w:lang w:bidi="ar"/>
        </w:rPr>
        <w:t>从国际环境看，全球形势“东升西降”趋势日益明朗，但面临国际大变局、疫情大事件、科技大变革，冲击高质量发展的不确定因素日益增多；从国家形势看，</w:t>
      </w:r>
      <w:r>
        <w:rPr>
          <w:rFonts w:hint="eastAsia" w:hAnsi="Times New Roman" w:eastAsia="仿宋_GB2312"/>
          <w:spacing w:val="-4"/>
          <w:sz w:val="32"/>
          <w:szCs w:val="32"/>
        </w:rPr>
        <w:t>“十四五”是我国开启全面建设社会主义现代化国家新征程、向第二个百年奋斗目标继续进军的五年，构筑“双循环”开放型的新发展格局将是主旋律；我省要率先探索构建新发展格局的新路径，打造国内大循环的战略支点、国内国际循环的战略枢纽。</w:t>
      </w:r>
      <w:r>
        <w:rPr>
          <w:rFonts w:hint="eastAsia" w:hAnsi="Times New Roman" w:eastAsia="仿宋_GB2312"/>
          <w:spacing w:val="-4"/>
          <w:sz w:val="32"/>
          <w:szCs w:val="32"/>
          <w:lang w:bidi="ar"/>
        </w:rPr>
        <w:t>对于这些，我们要清醒认识、准确把握，以金融业的高质量发展开新局、稳大局、定胜局，确保我县顺利进入动能转换全面提速、城市能级蓄势跃升、县域治理迭代升级、民生需求多元高质的新发展阶段。特别是对几方面的形势和机遇，要研判好、把握好：</w:t>
      </w:r>
    </w:p>
    <w:p>
      <w:pPr>
        <w:widowControl/>
        <w:adjustRightInd w:val="0"/>
        <w:snapToGrid w:val="0"/>
        <w:spacing w:line="360" w:lineRule="auto"/>
        <w:ind w:firstLine="640" w:firstLineChars="200"/>
        <w:jc w:val="left"/>
        <w:rPr>
          <w:rFonts w:hAnsi="黑体" w:eastAsia="仿宋_GB2312"/>
          <w:sz w:val="32"/>
          <w:szCs w:val="32"/>
        </w:rPr>
      </w:pPr>
      <w:r>
        <w:rPr>
          <w:rFonts w:hint="eastAsia" w:ascii="黑体" w:hAnsi="黑体" w:eastAsia="黑体"/>
          <w:sz w:val="32"/>
          <w:szCs w:val="32"/>
        </w:rPr>
        <w:t>1、大交通格局形势与机遇</w:t>
      </w:r>
      <w:r>
        <w:rPr>
          <w:rFonts w:hint="eastAsia" w:hAnsi="黑体" w:eastAsia="仿宋_GB2312"/>
          <w:sz w:val="32"/>
          <w:szCs w:val="32"/>
        </w:rPr>
        <w:t>。省域市域县域三个“1小时”交通圈加快形成，永嘉作为温州北部交通枢纽，一方面有力促进产业参与省域一体化、市域一体化、长三角一体化的循环协作，另一方面也可能引发人才等高端要素流失。金融资源是关键要素，交通大发展促进高端要素特别是金融要素循环汇聚。因此，要把握大交通引发的要素流动和产业发展的机遇，推动金融项目、金融资源对接永嘉实体经济发展，助推战略新兴产业和楠溪江文体旅产业加快崛起。</w:t>
      </w:r>
    </w:p>
    <w:p>
      <w:pPr>
        <w:widowControl/>
        <w:adjustRightInd w:val="0"/>
        <w:snapToGrid w:val="0"/>
        <w:spacing w:line="360" w:lineRule="auto"/>
        <w:ind w:firstLine="640" w:firstLineChars="200"/>
        <w:jc w:val="left"/>
        <w:rPr>
          <w:rFonts w:hAnsi="黑体" w:eastAsia="仿宋_GB2312"/>
          <w:sz w:val="32"/>
          <w:szCs w:val="32"/>
        </w:rPr>
      </w:pPr>
      <w:r>
        <w:rPr>
          <w:rFonts w:hint="eastAsia" w:ascii="黑体" w:hAnsi="黑体" w:eastAsia="黑体"/>
          <w:sz w:val="32"/>
          <w:szCs w:val="32"/>
        </w:rPr>
        <w:t>2、大都市建设形势与机遇</w:t>
      </w:r>
      <w:r>
        <w:rPr>
          <w:rFonts w:hint="eastAsia" w:hAnsi="黑体" w:eastAsia="仿宋_GB2312"/>
          <w:sz w:val="32"/>
          <w:szCs w:val="32"/>
        </w:rPr>
        <w:t>。温州大都市区建设加快推进，区划调整提上日程，市域一体化将形成。瓯江北岸属温州都市区核心区，将迎来“一江两岸”协同发展的重大机遇，对金融产业发展也带来较大影响。城市化进程中，要找准定位、趋利避害、锻造长板，优化“一主两副四组团”的城乡布局，统筹做强研发设计、现代物流等生产性服务业和休闲旅游、高端养老等品质化、高端化生活服务业，特别要强化金融业的支撑和推动作用。</w:t>
      </w:r>
    </w:p>
    <w:p>
      <w:pPr>
        <w:widowControl/>
        <w:adjustRightInd w:val="0"/>
        <w:snapToGrid w:val="0"/>
        <w:spacing w:line="360" w:lineRule="auto"/>
        <w:ind w:firstLine="640" w:firstLineChars="200"/>
        <w:jc w:val="left"/>
        <w:rPr>
          <w:rFonts w:hAnsi="黑体" w:eastAsia="仿宋_GB2312"/>
          <w:sz w:val="32"/>
          <w:szCs w:val="32"/>
        </w:rPr>
      </w:pPr>
      <w:r>
        <w:rPr>
          <w:rFonts w:hint="eastAsia" w:ascii="黑体" w:hAnsi="黑体" w:eastAsia="黑体"/>
          <w:sz w:val="32"/>
          <w:szCs w:val="32"/>
        </w:rPr>
        <w:t>3、新旧动能转化形势与机遇</w:t>
      </w:r>
      <w:r>
        <w:rPr>
          <w:rFonts w:hint="eastAsia" w:hAnsi="黑体" w:eastAsia="仿宋_GB2312"/>
          <w:sz w:val="32"/>
          <w:szCs w:val="32"/>
        </w:rPr>
        <w:t>。“十四五”时期是新旧动能转化关键时期。创新要素不断集聚、改革红利加速释放，新产业新模式新业态蓬勃发展，必将引发对金融产品服务创新的巨大需求。这就要求我们顺应科技变革和产业革命</w:t>
      </w:r>
      <w:r>
        <w:rPr>
          <w:rFonts w:hint="eastAsia" w:hAnsi="黑体" w:eastAsia="仿宋_GB2312"/>
          <w:sz w:val="32"/>
          <w:szCs w:val="32"/>
          <w:lang w:val="en-US" w:eastAsia="zh-CN"/>
        </w:rPr>
        <w:t>潮</w:t>
      </w:r>
      <w:r>
        <w:rPr>
          <w:rFonts w:hint="eastAsia" w:hAnsi="黑体" w:eastAsia="仿宋_GB2312"/>
          <w:sz w:val="32"/>
          <w:szCs w:val="32"/>
        </w:rPr>
        <w:t xml:space="preserve">流，推动金融机构围绕服务新旧动能转换，调整优化传统业务模式，加强企业技术改造、研发创新等方面金融支持。 </w:t>
      </w:r>
    </w:p>
    <w:p>
      <w:p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rPr>
        <w:t>4、美丽经济发展形势与机遇</w:t>
      </w:r>
      <w:r>
        <w:rPr>
          <w:rFonts w:hint="eastAsia" w:hAnsi="黑体" w:eastAsia="仿宋_GB2312"/>
          <w:sz w:val="32"/>
          <w:szCs w:val="32"/>
        </w:rPr>
        <w:t xml:space="preserve">。永嘉区位优势逐步显现，“绿水青山就是金山银山”发展理念深入人心，楠溪江流域生态绿色崛起迎来了历史性机遇，金融产业与生态经济融合发展也迎来战略性机遇。围绕生态产业化、产业生态化，聚焦乡村旅游、高效生态农业、养生养老等产业发展，找准农旅融合、文体旅融合等领域服务切入点，做好绿色金融文章。 </w:t>
      </w:r>
    </w:p>
    <w:p>
      <w:pPr>
        <w:adjustRightInd w:val="0"/>
        <w:snapToGrid w:val="0"/>
        <w:spacing w:line="360" w:lineRule="auto"/>
        <w:ind w:firstLine="640" w:firstLineChars="200"/>
      </w:pPr>
      <w:r>
        <w:rPr>
          <w:rFonts w:hint="eastAsia" w:ascii="黑体" w:hAnsi="黑体" w:eastAsia="黑体"/>
          <w:sz w:val="32"/>
          <w:szCs w:val="32"/>
        </w:rPr>
        <w:t>5、金融科技变革形势与机遇</w:t>
      </w:r>
      <w:r>
        <w:rPr>
          <w:rFonts w:hint="eastAsia" w:hAnsi="黑体" w:eastAsia="仿宋_GB2312"/>
          <w:sz w:val="32"/>
          <w:szCs w:val="32"/>
        </w:rPr>
        <w:t>。人工智能、云计算、大数据等新技术在金融领域深度应用创新，金融科技与消费升级、产业升级交汇融合，为金融业高质量发展注入了新动能。要坚持以数字化变革推动金融业转型升级、模式创新、服务优化，打通了普惠金融、消费金融的卡点堵点，降低信贷门槛，简化审批程序，提高服务质量，拓展金融服务实体经济和消费群体的更多场景。</w:t>
      </w:r>
    </w:p>
    <w:p>
      <w:pPr>
        <w:pStyle w:val="4"/>
        <w:spacing w:before="0" w:beforeAutospacing="0" w:after="0" w:afterAutospacing="0"/>
        <w:ind w:firstLine="643" w:firstLineChars="200"/>
        <w:rPr>
          <w:rFonts w:ascii="黑体" w:hAnsi="黑体" w:eastAsia="黑体"/>
          <w:sz w:val="32"/>
          <w:szCs w:val="32"/>
        </w:rPr>
      </w:pPr>
      <w:bookmarkStart w:id="4" w:name="_Toc63166563"/>
      <w:r>
        <w:rPr>
          <w:rFonts w:hint="eastAsia" w:ascii="黑体" w:hAnsi="黑体" w:eastAsia="黑体"/>
          <w:sz w:val="32"/>
          <w:szCs w:val="32"/>
        </w:rPr>
        <w:t>二、坚守金融初心，着力完善发展目标指标体系</w:t>
      </w:r>
      <w:bookmarkEnd w:id="4"/>
    </w:p>
    <w:p>
      <w:pPr>
        <w:adjustRightInd w:val="0"/>
        <w:snapToGrid w:val="0"/>
        <w:spacing w:line="360" w:lineRule="auto"/>
        <w:ind w:firstLine="560"/>
        <w:rPr>
          <w:rFonts w:hAnsi="黑体" w:eastAsia="仿宋_GB2312"/>
          <w:sz w:val="32"/>
          <w:szCs w:val="32"/>
        </w:rPr>
      </w:pPr>
      <w:r>
        <w:rPr>
          <w:rFonts w:hint="eastAsia" w:hAnsi="黑体" w:eastAsia="仿宋_GB2312"/>
          <w:sz w:val="32"/>
          <w:szCs w:val="32"/>
        </w:rPr>
        <w:t>金融是现代经济的核心。金融业本质和天职就是服务好实体经济、服务好人民群众美好生活。永嘉县金融产业“十四五”规划必须充分体现这一本质要求和初心使命，促进金融回归本源，推动金融活水更多、更好地流入实体经济，实现金融产业与实体经济相得益彰、互促共生、良性循环。</w:t>
      </w:r>
    </w:p>
    <w:p>
      <w:pPr>
        <w:adjustRightInd w:val="0"/>
        <w:snapToGrid w:val="0"/>
        <w:spacing w:line="360" w:lineRule="auto"/>
        <w:ind w:firstLine="643" w:firstLineChars="200"/>
        <w:rPr>
          <w:rFonts w:ascii="黑体" w:hAnsi="黑体" w:eastAsia="黑体"/>
          <w:b/>
          <w:bCs/>
          <w:sz w:val="32"/>
          <w:szCs w:val="32"/>
        </w:rPr>
      </w:pPr>
      <w:bookmarkStart w:id="5" w:name="_Toc63166564"/>
      <w:r>
        <w:rPr>
          <w:rFonts w:hint="eastAsia" w:ascii="黑体" w:hAnsi="黑体" w:eastAsia="黑体"/>
          <w:b/>
          <w:bCs/>
          <w:sz w:val="32"/>
          <w:szCs w:val="32"/>
        </w:rPr>
        <w:t>（一）指导思想</w:t>
      </w:r>
      <w:bookmarkEnd w:id="5"/>
    </w:p>
    <w:p>
      <w:pPr>
        <w:adjustRightInd w:val="0"/>
        <w:snapToGrid w:val="0"/>
        <w:spacing w:line="360" w:lineRule="auto"/>
        <w:ind w:firstLine="560"/>
        <w:rPr>
          <w:rFonts w:hint="eastAsia" w:hAnsi="黑体" w:eastAsia="仿宋_GB2312"/>
          <w:sz w:val="32"/>
          <w:szCs w:val="32"/>
        </w:rPr>
      </w:pPr>
      <w:r>
        <w:rPr>
          <w:rFonts w:hint="eastAsia" w:hAnsi="仿宋_GB2312" w:eastAsia="仿宋_GB2312" w:cs="仿宋_GB2312"/>
          <w:color w:val="000000" w:themeColor="text1"/>
          <w:sz w:val="32"/>
          <w:szCs w:val="32"/>
          <w14:textFill>
            <w14:solidFill>
              <w14:schemeClr w14:val="tx1"/>
            </w14:solidFill>
          </w14:textFill>
        </w:rPr>
        <w:t>高举习近平新时代中国特色社会主义思想伟大旗帜，</w:t>
      </w:r>
      <w:r>
        <w:rPr>
          <w:rFonts w:hint="eastAsia" w:hAnsi="黑体" w:eastAsia="仿宋_GB2312" w:cs="黑体"/>
          <w:bCs/>
          <w:snapToGrid w:val="0"/>
          <w:kern w:val="0"/>
          <w:sz w:val="32"/>
          <w:szCs w:val="32"/>
        </w:rPr>
        <w:t>深入贯彻习近平同志关于金融工作重要论述精神，</w:t>
      </w:r>
      <w:r>
        <w:rPr>
          <w:rFonts w:hint="eastAsia" w:hAnsi="黑体" w:eastAsia="仿宋_GB2312"/>
          <w:sz w:val="32"/>
          <w:szCs w:val="32"/>
        </w:rPr>
        <w:t>全面落实浙江省委、温州市委关于金融工作的系统部署，紧扣县委</w:t>
      </w:r>
      <w:r>
        <w:rPr>
          <w:rFonts w:hint="eastAsia" w:hAnsi="仿宋_GB2312" w:eastAsia="仿宋_GB2312" w:cs="仿宋_GB2312"/>
          <w:color w:val="000000" w:themeColor="text1"/>
          <w:sz w:val="32"/>
          <w:szCs w:val="32"/>
          <w14:textFill>
            <w14:solidFill>
              <w14:schemeClr w14:val="tx1"/>
            </w14:solidFill>
          </w14:textFill>
        </w:rPr>
        <w:t>“五城三地一新区”战略，对标新时代“两个健康”先行区，</w:t>
      </w:r>
      <w:r>
        <w:rPr>
          <w:rFonts w:hint="eastAsia" w:hAnsi="黑体" w:eastAsia="仿宋_GB2312"/>
          <w:sz w:val="32"/>
          <w:szCs w:val="32"/>
        </w:rPr>
        <w:t>立足新发展阶段、贯彻新发展理念、构建新发展格局，坚持服务实体经济，坚持以数字化改革为引领，坚持守牢金融风险底线，以金融供给侧结构改革为动力，</w:t>
      </w:r>
      <w:r>
        <w:rPr>
          <w:rFonts w:hint="eastAsia" w:ascii="黑体" w:hAnsi="黑体" w:eastAsia="仿宋_GB2312" w:cs="黑体"/>
          <w:kern w:val="0"/>
          <w:sz w:val="32"/>
          <w:szCs w:val="32"/>
          <w:lang w:bidi="ar"/>
        </w:rPr>
        <w:t>以提升金融供给能力为目标，</w:t>
      </w:r>
      <w:r>
        <w:rPr>
          <w:rFonts w:hint="eastAsia" w:hAnsi="黑体" w:eastAsia="仿宋_GB2312"/>
          <w:sz w:val="32"/>
          <w:szCs w:val="32"/>
        </w:rPr>
        <w:t>深入实施融资畅通工程2.0版，加快构建数智化县域金融运行体系，奋力推进产业金融、普惠金融、科技金融、绿色金融协同发展创新发展，</w:t>
      </w:r>
      <w:r>
        <w:rPr>
          <w:rFonts w:hint="eastAsia" w:ascii="黑体" w:hAnsi="黑体" w:eastAsia="仿宋_GB2312" w:cs="黑体"/>
          <w:kern w:val="0"/>
          <w:sz w:val="32"/>
          <w:szCs w:val="32"/>
          <w:lang w:bidi="ar"/>
        </w:rPr>
        <w:t>推动金融更好服务高质量发展、高品质生活和高效能治理，</w:t>
      </w:r>
      <w:r>
        <w:rPr>
          <w:rFonts w:hint="eastAsia" w:hAnsi="黑体" w:eastAsia="仿宋_GB2312"/>
          <w:sz w:val="32"/>
          <w:szCs w:val="32"/>
        </w:rPr>
        <w:t>为建设社会主义现代化先行县和扎实推动全体人民的共同富裕提供强大金融支撑。</w:t>
      </w:r>
      <w:bookmarkStart w:id="6" w:name="_Toc63166565"/>
    </w:p>
    <w:p>
      <w:pPr>
        <w:adjustRightInd w:val="0"/>
        <w:snapToGrid w:val="0"/>
        <w:spacing w:line="360" w:lineRule="auto"/>
        <w:ind w:firstLine="643" w:firstLineChars="200"/>
        <w:rPr>
          <w:rFonts w:ascii="黑体" w:hAnsi="黑体" w:eastAsia="黑体"/>
          <w:b/>
          <w:bCs/>
          <w:sz w:val="32"/>
          <w:szCs w:val="32"/>
        </w:rPr>
      </w:pPr>
      <w:r>
        <w:rPr>
          <w:rFonts w:hint="eastAsia" w:ascii="黑体" w:hAnsi="黑体" w:eastAsia="黑体"/>
          <w:b/>
          <w:bCs/>
          <w:sz w:val="32"/>
          <w:szCs w:val="32"/>
        </w:rPr>
        <w:t>（二）战略定位</w:t>
      </w:r>
      <w:bookmarkEnd w:id="6"/>
    </w:p>
    <w:p>
      <w:pPr>
        <w:pStyle w:val="2"/>
        <w:adjustRightInd w:val="0"/>
        <w:snapToGrid w:val="0"/>
        <w:spacing w:after="0" w:line="360" w:lineRule="auto"/>
        <w:ind w:firstLine="640" w:firstLineChars="200"/>
        <w:rPr>
          <w:rFonts w:hAnsi="黑体" w:eastAsia="仿宋_GB2312"/>
          <w:sz w:val="32"/>
          <w:szCs w:val="32"/>
        </w:rPr>
      </w:pPr>
      <w:r>
        <w:rPr>
          <w:rFonts w:hint="eastAsia" w:hAnsi="黑体" w:eastAsia="仿宋_GB2312"/>
          <w:sz w:val="32"/>
          <w:szCs w:val="32"/>
        </w:rPr>
        <w:t>立足永嘉产业特色和资源禀赋，紧扣服务高质量发展、现代化建设、竞争力提升，落实落细金融供给侧结构性改革举措，到2025年，金融业成为永嘉战略性支柱产业，全力打造“四个典范一个窗口”标志性成果。</w:t>
      </w:r>
    </w:p>
    <w:p>
      <w:pPr>
        <w:pStyle w:val="2"/>
        <w:adjustRightInd w:val="0"/>
        <w:snapToGrid w:val="0"/>
        <w:spacing w:after="0" w:line="360" w:lineRule="auto"/>
        <w:ind w:firstLine="640" w:firstLineChars="200"/>
        <w:rPr>
          <w:rFonts w:hint="eastAsia" w:hAnsi="黑体" w:eastAsia="仿宋_GB2312"/>
          <w:sz w:val="32"/>
          <w:szCs w:val="32"/>
        </w:rPr>
      </w:pPr>
      <w:r>
        <w:rPr>
          <w:rFonts w:hint="eastAsia" w:ascii="黑体" w:hAnsi="黑体" w:eastAsia="黑体"/>
          <w:sz w:val="32"/>
          <w:szCs w:val="32"/>
        </w:rPr>
        <w:t>1、产业金融实践典范：</w:t>
      </w:r>
      <w:r>
        <w:rPr>
          <w:rFonts w:hint="eastAsia" w:hAnsi="黑体" w:eastAsia="仿宋_GB2312"/>
          <w:sz w:val="32"/>
          <w:szCs w:val="32"/>
        </w:rPr>
        <w:t>聚焦</w:t>
      </w:r>
      <w:r>
        <w:rPr>
          <w:rFonts w:hAnsi="黑体" w:eastAsia="仿宋_GB2312"/>
          <w:sz w:val="32"/>
          <w:szCs w:val="32"/>
        </w:rPr>
        <w:t>“5311”现代制造业千亿级产业集群</w:t>
      </w:r>
      <w:r>
        <w:rPr>
          <w:rFonts w:hint="eastAsia" w:hAnsi="黑体" w:eastAsia="仿宋_GB2312"/>
          <w:sz w:val="32"/>
          <w:szCs w:val="32"/>
        </w:rPr>
        <w:t>和标志性产业链高质量发展要求，实施小微企业信贷增氧计划和金融服务滴灌工程，创新供应链金融服务模式，构建“核心企业+协同企业+链网式金融”等综合金融服务，加大技术改造、设备更新、产品研发、品牌运营和上云用云等方面的金融服务力度，</w:t>
      </w:r>
      <w:r>
        <w:rPr>
          <w:rFonts w:hint="eastAsia" w:hAnsi="Times New Roman" w:eastAsia="仿宋_GB2312" w:cs="仿宋_GB2312"/>
          <w:spacing w:val="-4"/>
          <w:sz w:val="32"/>
          <w:szCs w:val="32"/>
        </w:rPr>
        <w:t>推动鞋服、纽扣拉链、五金饰扣、泵阀、教玩具等产业升级</w:t>
      </w:r>
      <w:r>
        <w:rPr>
          <w:rFonts w:hint="eastAsia" w:hAnsi="黑体" w:eastAsia="仿宋_GB2312"/>
          <w:sz w:val="32"/>
          <w:szCs w:val="32"/>
        </w:rPr>
        <w:t>，促进核心制造业、智能装备、生命健康等战略性新兴产业培育。同时，要深入实施“凤凰丹穴”计划，支持一批龙头企业</w:t>
      </w:r>
      <w:r>
        <w:rPr>
          <w:rFonts w:hint="eastAsia" w:hAnsi="黑体" w:eastAsia="仿宋_GB2312"/>
          <w:sz w:val="32"/>
          <w:szCs w:val="32"/>
          <w:lang w:eastAsia="zh-CN"/>
        </w:rPr>
        <w:t>、</w:t>
      </w:r>
      <w:r>
        <w:rPr>
          <w:rFonts w:hint="eastAsia" w:hAnsi="黑体" w:eastAsia="仿宋_GB2312"/>
          <w:sz w:val="32"/>
          <w:szCs w:val="32"/>
        </w:rPr>
        <w:t>“专精特新”企业、隐形冠军企业、单项冠军企业走向资本市场，加快形成金融服务产业转型升级的新格局。</w:t>
      </w:r>
    </w:p>
    <w:p>
      <w:pPr>
        <w:ind w:firstLine="640" w:firstLineChars="200"/>
        <w:rPr>
          <w:rFonts w:hAnsi="黑体" w:eastAsia="仿宋_GB2312"/>
          <w:sz w:val="32"/>
          <w:szCs w:val="32"/>
        </w:rPr>
      </w:pPr>
      <w:r>
        <w:rPr>
          <w:rFonts w:hint="eastAsia" w:ascii="黑体" w:hAnsi="黑体" w:eastAsia="黑体"/>
          <w:sz w:val="32"/>
          <w:szCs w:val="32"/>
        </w:rPr>
        <w:t>2、普惠金融实践典范：</w:t>
      </w:r>
      <w:r>
        <w:rPr>
          <w:rFonts w:hint="eastAsia" w:hAnsi="黑体" w:eastAsia="仿宋_GB2312"/>
          <w:sz w:val="32"/>
          <w:szCs w:val="32"/>
        </w:rPr>
        <w:t>积极响应广大小微企业壮大的需求、永商发展的需求、老百姓美好生活的需求，充分发挥金融有效服务高质量发展建设共同富裕示范区的作用，支持金融机构加快建立敢贷、愿贷、能贷的激励约束机制，用好大数据、人工智能、区块链等新技术，塑造数字时代金融服务新面貌，加大对乡村振兴的精准支持，大力创新小微金融、农村金融服务路径，疏通金融服务乡村振兴、现代农业的卡点堵点，提高金融资源</w:t>
      </w:r>
      <w:r>
        <w:rPr>
          <w:rFonts w:hint="eastAsia" w:hAnsi="Tahoma" w:eastAsia="仿宋_GB2312" w:cs="仿宋_GB2312"/>
          <w:kern w:val="0"/>
          <w:sz w:val="32"/>
          <w:szCs w:val="32"/>
          <w:lang w:bidi="ar"/>
        </w:rPr>
        <w:t>覆盖面、可得性和满意度</w:t>
      </w:r>
      <w:r>
        <w:rPr>
          <w:rFonts w:hint="eastAsia" w:hAnsi="黑体" w:eastAsia="仿宋_GB2312"/>
          <w:sz w:val="32"/>
          <w:szCs w:val="32"/>
        </w:rPr>
        <w:t>，走出金融支持服务推动共同富裕的新路子。</w:t>
      </w:r>
    </w:p>
    <w:p>
      <w:pPr>
        <w:adjustRightInd w:val="0"/>
        <w:snapToGrid w:val="0"/>
        <w:spacing w:line="360" w:lineRule="auto"/>
        <w:ind w:firstLine="560"/>
        <w:rPr>
          <w:rFonts w:hAnsi="黑体" w:eastAsia="仿宋_GB2312"/>
          <w:sz w:val="32"/>
          <w:szCs w:val="32"/>
        </w:rPr>
      </w:pPr>
      <w:r>
        <w:rPr>
          <w:rFonts w:hint="eastAsia" w:ascii="黑体" w:hAnsi="黑体" w:eastAsia="黑体"/>
          <w:sz w:val="32"/>
          <w:szCs w:val="32"/>
        </w:rPr>
        <w:t>3、科技金融实践典范：</w:t>
      </w:r>
      <w:r>
        <w:rPr>
          <w:rFonts w:hint="eastAsia" w:hAnsi="黑体" w:eastAsia="仿宋_GB2312"/>
          <w:sz w:val="32"/>
          <w:szCs w:val="32"/>
        </w:rPr>
        <w:t>顺应科技创新趋势和创新企业发展规律，把金融作为创新生态的关键一环，以数字赋能为核心驱动力，创新科创金融新平台、新载体、新产品，加强对产业创新、技术创新和高端人才的金融支持，</w:t>
      </w:r>
      <w:r>
        <w:rPr>
          <w:rFonts w:hint="eastAsia" w:hAnsi="Times New Roman" w:eastAsia="仿宋_GB2312"/>
          <w:spacing w:val="-4"/>
          <w:sz w:val="32"/>
          <w:szCs w:val="32"/>
        </w:rPr>
        <w:t>集聚科技银行、股权投资机构、科技保险等服务组织，打造高效便捷的科技数字金融服务平台，</w:t>
      </w:r>
      <w:r>
        <w:rPr>
          <w:rFonts w:hint="eastAsia" w:hAnsi="黑体" w:eastAsia="仿宋_GB2312"/>
          <w:sz w:val="32"/>
          <w:szCs w:val="32"/>
        </w:rPr>
        <w:t>推动金融产品技术、服务方式、机制制度与新产业新业态新模式相适应，构建全方位金融服务科创、服务人才的新体系。</w:t>
      </w:r>
    </w:p>
    <w:p>
      <w:pPr>
        <w:numPr>
          <w:ilvl w:val="255"/>
          <w:numId w:val="0"/>
        </w:numPr>
        <w:adjustRightInd w:val="0"/>
        <w:snapToGrid w:val="0"/>
        <w:spacing w:line="360" w:lineRule="auto"/>
        <w:ind w:firstLine="640" w:firstLineChars="200"/>
        <w:rPr>
          <w:rFonts w:hAnsi="黑体" w:eastAsia="仿宋_GB2312"/>
          <w:sz w:val="32"/>
          <w:szCs w:val="32"/>
        </w:rPr>
      </w:pPr>
      <w:r>
        <w:rPr>
          <w:rFonts w:hint="eastAsia" w:ascii="黑体" w:hAnsi="黑体" w:eastAsia="黑体"/>
          <w:sz w:val="32"/>
          <w:szCs w:val="32"/>
        </w:rPr>
        <w:t>4、绿色金融实践典范：</w:t>
      </w:r>
      <w:r>
        <w:rPr>
          <w:rFonts w:hint="eastAsia" w:ascii="仿宋_GB2312" w:hAnsi="黑体" w:eastAsia="仿宋_GB2312"/>
          <w:sz w:val="32"/>
          <w:szCs w:val="32"/>
        </w:rPr>
        <w:t>紧扣碳达峰碳中和</w:t>
      </w:r>
      <w:r>
        <w:rPr>
          <w:rFonts w:hint="eastAsia" w:hAnsi="黑体" w:eastAsia="仿宋_GB2312"/>
          <w:sz w:val="32"/>
          <w:szCs w:val="32"/>
        </w:rPr>
        <w:t>行动</w:t>
      </w:r>
      <w:r>
        <w:rPr>
          <w:rFonts w:hint="eastAsia" w:ascii="仿宋_GB2312" w:hAnsi="黑体" w:eastAsia="仿宋_GB2312"/>
          <w:sz w:val="32"/>
          <w:szCs w:val="32"/>
        </w:rPr>
        <w:t>，</w:t>
      </w:r>
      <w:r>
        <w:rPr>
          <w:rFonts w:hint="eastAsia" w:hAnsi="黑体" w:eastAsia="仿宋_GB2312"/>
          <w:sz w:val="32"/>
          <w:szCs w:val="32"/>
        </w:rPr>
        <w:t>把“绿水青山就是金山银山”理念贯穿于金融产业发展全过程，积极推动“生态+金融”融合，畅通金融支持“两山”转化，创新绿色金融服务工具、方式和模式，加大对绿色产业和减碳脱碳等绿色技术的支持，推动金融资源向夜游经济、文体旅产业、康养度假等领域倾斜，激活楠溪江生态资源的金融动能，为创成国家5A级旅游景区注入金融活水，助推楠溪江绿色产业战略性崛起。</w:t>
      </w:r>
    </w:p>
    <w:p>
      <w:pPr>
        <w:ind w:firstLine="640" w:firstLineChars="200"/>
        <w:rPr>
          <w:rFonts w:hAnsi="Tahoma" w:eastAsia="仿宋_GB2312" w:cs="仿宋_GB2312"/>
          <w:kern w:val="0"/>
          <w:sz w:val="32"/>
          <w:szCs w:val="32"/>
          <w:lang w:bidi="ar"/>
        </w:rPr>
      </w:pPr>
      <w:r>
        <w:rPr>
          <w:rFonts w:hint="eastAsia" w:ascii="黑体" w:hAnsi="黑体" w:eastAsia="黑体"/>
          <w:sz w:val="32"/>
          <w:szCs w:val="32"/>
        </w:rPr>
        <w:t>5、金融生态展示窗口：</w:t>
      </w:r>
      <w:r>
        <w:rPr>
          <w:rFonts w:hint="eastAsia" w:hAnsi="黑体" w:eastAsia="仿宋_GB2312"/>
          <w:sz w:val="32"/>
          <w:szCs w:val="32"/>
        </w:rPr>
        <w:t>牢固树立安全发展理念，强化</w:t>
      </w:r>
    </w:p>
    <w:p>
      <w:pPr>
        <w:adjustRightInd/>
        <w:snapToGrid/>
        <w:spacing w:line="240" w:lineRule="auto"/>
        <w:ind w:firstLine="0"/>
        <w:rPr>
          <w:rFonts w:hAnsi="黑体" w:eastAsia="仿宋_GB2312"/>
          <w:sz w:val="32"/>
          <w:szCs w:val="32"/>
        </w:rPr>
      </w:pPr>
      <w:r>
        <w:rPr>
          <w:rFonts w:hint="eastAsia" w:hAnsi="Tahoma" w:eastAsia="仿宋_GB2312" w:cs="仿宋_GB2312"/>
          <w:kern w:val="0"/>
          <w:sz w:val="32"/>
          <w:szCs w:val="32"/>
          <w:lang w:bidi="ar"/>
        </w:rPr>
        <w:t>闭环管控、精准防控、依法治理，</w:t>
      </w:r>
      <w:r>
        <w:rPr>
          <w:rFonts w:hint="eastAsia" w:hAnsi="黑体" w:eastAsia="仿宋_GB2312"/>
          <w:sz w:val="32"/>
          <w:szCs w:val="32"/>
        </w:rPr>
        <w:t>，健全“天罗地网”“金融大脑”“非现场监管”等防控体系，加强对区域金融风险的动态监测、预警和处置，贯彻落实国家《防范和处置非法集资条例》，建立健全处非工作机制，严厉打击非法集资、非法吸储、电信网络诈骗等非法金融活动，切实加强金融消费者教育和保护，强化现代金融文化建设和法治保障，持续保持较低银行业信贷不良率水平，守住不发生系统性风险底线，营造“山清水秀”的金融发展的新生态。</w:t>
      </w:r>
    </w:p>
    <w:p>
      <w:pPr>
        <w:pStyle w:val="5"/>
        <w:spacing w:before="0" w:after="0" w:line="360" w:lineRule="auto"/>
        <w:ind w:firstLine="643" w:firstLineChars="200"/>
        <w:rPr>
          <w:rFonts w:ascii="黑体" w:hAnsi="黑体" w:eastAsia="黑体"/>
        </w:rPr>
      </w:pPr>
      <w:bookmarkStart w:id="7" w:name="_Toc63166566"/>
      <w:r>
        <w:rPr>
          <w:rFonts w:hint="eastAsia" w:ascii="黑体" w:hAnsi="黑体" w:eastAsia="黑体"/>
        </w:rPr>
        <w:t>（三）功能布局</w:t>
      </w:r>
      <w:bookmarkEnd w:id="7"/>
      <w:r>
        <w:rPr>
          <w:rFonts w:hint="eastAsia" w:ascii="黑体" w:hAnsi="黑体" w:eastAsia="黑体"/>
        </w:rPr>
        <w:t xml:space="preserve">  </w:t>
      </w:r>
    </w:p>
    <w:p>
      <w:pPr>
        <w:adjustRightInd w:val="0"/>
        <w:snapToGrid w:val="0"/>
        <w:spacing w:line="360" w:lineRule="auto"/>
        <w:ind w:firstLine="640" w:firstLineChars="200"/>
        <w:rPr>
          <w:rFonts w:hAnsi="仿宋_GB2312" w:eastAsia="仿宋_GB2312" w:cs="仿宋_GB2312"/>
          <w:sz w:val="32"/>
          <w:szCs w:val="32"/>
        </w:rPr>
      </w:pPr>
      <w:r>
        <w:rPr>
          <w:rFonts w:hint="eastAsia" w:hAnsi="仿宋_GB2312" w:eastAsia="仿宋_GB2312" w:cs="仿宋_GB2312"/>
          <w:sz w:val="32"/>
          <w:szCs w:val="32"/>
        </w:rPr>
        <w:t>整合优化金融发展功能、空间布局，倾力打造“一轴一区多点</w:t>
      </w:r>
      <w:r>
        <w:rPr>
          <w:rFonts w:hint="eastAsia" w:ascii="Times New Roman" w:hAnsi="Times New Roman" w:eastAsia="仿宋_GB2312"/>
          <w:sz w:val="32"/>
          <w:szCs w:val="32"/>
        </w:rPr>
        <w:t>”的</w:t>
      </w:r>
      <w:r>
        <w:rPr>
          <w:rFonts w:hint="eastAsia" w:hAnsi="仿宋_GB2312" w:eastAsia="仿宋_GB2312" w:cs="仿宋_GB2312"/>
          <w:sz w:val="32"/>
          <w:szCs w:val="32"/>
        </w:rPr>
        <w:t>县域金融业高质量空间布局，打造浙南闽北赣东区域金融</w:t>
      </w:r>
      <w:r>
        <w:rPr>
          <w:rFonts w:hint="eastAsia" w:eastAsia="仿宋_GB2312"/>
          <w:sz w:val="32"/>
          <w:szCs w:val="32"/>
        </w:rPr>
        <w:t>发展战略支点</w:t>
      </w:r>
      <w:r>
        <w:rPr>
          <w:rFonts w:hint="eastAsia" w:hAnsi="仿宋_GB2312" w:eastAsia="仿宋_GB2312" w:cs="仿宋_GB2312"/>
          <w:sz w:val="32"/>
          <w:szCs w:val="32"/>
        </w:rPr>
        <w:t>。</w:t>
      </w:r>
    </w:p>
    <w:p>
      <w:pPr>
        <w:adjustRightInd w:val="0"/>
        <w:snapToGrid w:val="0"/>
        <w:spacing w:line="360" w:lineRule="auto"/>
        <w:ind w:firstLine="640" w:firstLineChars="200"/>
        <w:rPr>
          <w:rFonts w:hAnsi="仿宋_GB2312" w:eastAsia="仿宋_GB2312" w:cs="仿宋_GB2312"/>
          <w:sz w:val="32"/>
          <w:szCs w:val="32"/>
        </w:rPr>
      </w:pPr>
      <w:r>
        <w:rPr>
          <w:rFonts w:hint="eastAsia" w:ascii="黑体" w:hAnsi="黑体" w:eastAsia="黑体" w:cs="仿宋_GB2312"/>
          <w:sz w:val="32"/>
          <w:szCs w:val="32"/>
        </w:rPr>
        <w:t>金融发展轴：</w:t>
      </w:r>
      <w:r>
        <w:rPr>
          <w:rFonts w:hint="eastAsia" w:hAnsi="仿宋_GB2312" w:eastAsia="仿宋_GB2312" w:cs="仿宋_GB2312"/>
          <w:sz w:val="32"/>
          <w:szCs w:val="32"/>
        </w:rPr>
        <w:t>发挥我县融入大都市区优势，</w:t>
      </w:r>
      <w:r>
        <w:rPr>
          <w:rFonts w:hint="eastAsia" w:hAnsi="Times New Roman" w:eastAsia="仿宋_GB2312"/>
          <w:spacing w:val="-4"/>
          <w:sz w:val="32"/>
          <w:szCs w:val="32"/>
        </w:rPr>
        <w:t>吸引汇聚资本、项目、人才、金融组织等资源要素</w:t>
      </w:r>
      <w:r>
        <w:rPr>
          <w:rFonts w:hint="eastAsia" w:hAnsi="仿宋_GB2312" w:eastAsia="仿宋_GB2312" w:cs="仿宋_GB2312"/>
          <w:sz w:val="32"/>
          <w:szCs w:val="32"/>
        </w:rPr>
        <w:t>，贯通以上塘—瓯北为核心的金融发展轴，联动黄田、三江等战略区块金融发展，加快建设金融商务集聚区，打造三江金融总部经济，力争成为</w:t>
      </w:r>
      <w:r>
        <w:rPr>
          <w:rFonts w:hint="eastAsia" w:hAnsi="Times New Roman" w:eastAsia="仿宋_GB2312"/>
          <w:spacing w:val="-4"/>
          <w:sz w:val="32"/>
          <w:szCs w:val="32"/>
        </w:rPr>
        <w:t>浙南闽北赣东区域金融中心的重要板块</w:t>
      </w:r>
      <w:r>
        <w:rPr>
          <w:rFonts w:hint="eastAsia" w:hAnsi="仿宋_GB2312" w:eastAsia="仿宋_GB2312" w:cs="仿宋_GB2312"/>
          <w:sz w:val="32"/>
          <w:szCs w:val="32"/>
        </w:rPr>
        <w:t>。</w:t>
      </w:r>
    </w:p>
    <w:p>
      <w:pPr>
        <w:adjustRightInd w:val="0"/>
        <w:snapToGrid w:val="0"/>
        <w:spacing w:line="360" w:lineRule="auto"/>
        <w:ind w:firstLine="640" w:firstLineChars="200"/>
        <w:rPr>
          <w:rFonts w:hAnsi="仿宋_GB2312" w:eastAsia="仿宋_GB2312" w:cs="仿宋_GB2312"/>
          <w:sz w:val="32"/>
          <w:szCs w:val="32"/>
        </w:rPr>
      </w:pPr>
      <w:r>
        <w:rPr>
          <w:rFonts w:hint="eastAsia" w:ascii="黑体" w:hAnsi="黑体" w:eastAsia="黑体" w:cs="仿宋_GB2312"/>
          <w:sz w:val="32"/>
          <w:szCs w:val="32"/>
        </w:rPr>
        <w:t>绿色金融示范区：</w:t>
      </w:r>
      <w:r>
        <w:rPr>
          <w:rFonts w:hint="eastAsia" w:hAnsi="仿宋_GB2312" w:eastAsia="仿宋_GB2312" w:cs="仿宋_GB2312"/>
          <w:sz w:val="32"/>
          <w:szCs w:val="32"/>
        </w:rPr>
        <w:t>以瓯北阳光大道为核心区域，进一步明确绿色金融资源集聚空间范围，</w:t>
      </w:r>
      <w:r>
        <w:rPr>
          <w:rFonts w:hint="eastAsia" w:hAnsi="Tahoma" w:eastAsia="仿宋_GB2312" w:cs="仿宋_GB2312"/>
          <w:kern w:val="0"/>
          <w:sz w:val="32"/>
          <w:szCs w:val="32"/>
          <w:lang w:bidi="ar"/>
        </w:rPr>
        <w:t>探索构建绿色低碳金融体系，建立绿色金融约束激励机制，</w:t>
      </w:r>
      <w:r>
        <w:rPr>
          <w:rFonts w:hint="eastAsia" w:hAnsi="仿宋_GB2312" w:eastAsia="仿宋_GB2312" w:cs="仿宋_GB2312"/>
          <w:sz w:val="32"/>
          <w:szCs w:val="32"/>
        </w:rPr>
        <w:t>建立集绿色金融机构、产品、中介服务于一体的金融综合服务平台，提升永嘉“金融谷”功能，促使更多资金投向节能环保、资源循环利用等可持续发展企业和项目，助力瓯江山水诗路核心区建设，打造以绿色金融为特色的瓯江北岸金融示范区。</w:t>
      </w:r>
    </w:p>
    <w:p>
      <w:pPr>
        <w:adjustRightInd w:val="0"/>
        <w:snapToGrid w:val="0"/>
        <w:spacing w:line="360" w:lineRule="auto"/>
        <w:ind w:firstLine="640" w:firstLineChars="200"/>
        <w:rPr>
          <w:rFonts w:ascii="Times New Roman" w:hAnsi="Times New Roman" w:eastAsia="仿宋_GB2312"/>
          <w:sz w:val="32"/>
          <w:szCs w:val="32"/>
        </w:rPr>
      </w:pPr>
      <w:r>
        <w:rPr>
          <w:rFonts w:hint="eastAsia" w:ascii="黑体" w:hAnsi="黑体" w:eastAsia="黑体" w:cs="仿宋_GB2312"/>
          <w:sz w:val="32"/>
          <w:szCs w:val="32"/>
        </w:rPr>
        <w:t>便民金融服务点：</w:t>
      </w:r>
      <w:r>
        <w:rPr>
          <w:rFonts w:hint="eastAsia" w:ascii="Times New Roman" w:hAnsi="Times New Roman" w:eastAsia="仿宋_GB2312"/>
          <w:sz w:val="32"/>
          <w:szCs w:val="32"/>
        </w:rPr>
        <w:t xml:space="preserve">依托桥头、桥下、乌牛、金溪、岩头、枫林、碧莲、大若岩等中心镇产业集群和人口集聚发展态势，推进金融服务关键和重要节点能级提升和功能完善；依托中心村、城市社区等城乡发展布局，科学合理布局金融服务网点和设施，解决金融服务“最后一公里”，最终形成覆盖全域、特色鲜明、功能互补的现代金融协同发展布局。  </w:t>
      </w:r>
    </w:p>
    <w:p>
      <w:pPr>
        <w:adjustRightInd w:val="0"/>
        <w:snapToGrid w:val="0"/>
        <w:spacing w:line="360" w:lineRule="auto"/>
        <w:ind w:firstLine="640" w:firstLineChars="200"/>
        <w:rPr>
          <w:rFonts w:ascii="黑体" w:hAnsi="黑体" w:eastAsia="黑体"/>
          <w:sz w:val="32"/>
          <w:szCs w:val="40"/>
        </w:rPr>
      </w:pPr>
      <w:bookmarkStart w:id="8" w:name="_Toc63166567"/>
      <w:r>
        <w:rPr>
          <w:rFonts w:hint="eastAsia" w:ascii="黑体" w:hAnsi="黑体" w:eastAsia="黑体"/>
          <w:sz w:val="32"/>
          <w:szCs w:val="40"/>
        </w:rPr>
        <w:t>（四）主要目标</w:t>
      </w:r>
      <w:bookmarkEnd w:id="8"/>
      <w:r>
        <w:rPr>
          <w:rFonts w:hint="eastAsia" w:ascii="黑体" w:hAnsi="黑体" w:eastAsia="黑体"/>
          <w:sz w:val="32"/>
          <w:szCs w:val="40"/>
        </w:rPr>
        <w:t xml:space="preserve"> </w:t>
      </w:r>
    </w:p>
    <w:p>
      <w:pPr>
        <w:adjustRightInd w:val="0"/>
        <w:snapToGrid w:val="0"/>
        <w:spacing w:line="360" w:lineRule="auto"/>
        <w:ind w:firstLine="640" w:firstLineChars="200"/>
        <w:rPr>
          <w:rFonts w:hAnsi="黑体" w:eastAsia="仿宋_GB2312"/>
          <w:sz w:val="32"/>
          <w:szCs w:val="32"/>
        </w:rPr>
      </w:pPr>
      <w:r>
        <w:rPr>
          <w:rFonts w:hint="eastAsia" w:hAnsi="黑体" w:eastAsia="仿宋_GB2312"/>
          <w:sz w:val="32"/>
          <w:szCs w:val="32"/>
        </w:rPr>
        <w:t>围绕“产业金融、普惠金融、科技金融、绿色金融”协同创新发展，着力构建现代金融产业体系，谋划推进金融改革项目，大力推进金融基础设施建设，全面提升金融整体智治水平，加快形成现代金融产业发展新格局，使整体实力更雄厚、区域布局更合理、业态发展更健全、运行秩序更稳定。到2025年，实现融资质效再提升、企业上市再加速、区域金改再深化、金融治理再加强</w:t>
      </w:r>
      <w:r>
        <w:rPr>
          <w:rFonts w:hint="eastAsia" w:hAnsi="Times New Roman" w:eastAsia="仿宋_GB2312"/>
          <w:spacing w:val="-4"/>
          <w:sz w:val="32"/>
          <w:szCs w:val="32"/>
        </w:rPr>
        <w:t>，</w:t>
      </w:r>
      <w:r>
        <w:rPr>
          <w:rFonts w:hint="eastAsia" w:hAnsi="黑体" w:eastAsia="仿宋_GB2312"/>
          <w:sz w:val="32"/>
          <w:szCs w:val="32"/>
        </w:rPr>
        <w:t xml:space="preserve">具体规划指标达到： </w:t>
      </w:r>
    </w:p>
    <w:p>
      <w:pPr>
        <w:adjustRightInd w:val="0"/>
        <w:snapToGrid w:val="0"/>
        <w:spacing w:line="360" w:lineRule="auto"/>
        <w:ind w:firstLine="640" w:firstLineChars="200"/>
        <w:rPr>
          <w:rStyle w:val="83"/>
          <w:rFonts w:hAnsi="仿宋_GB2312" w:eastAsia="仿宋_GB2312" w:cs="仿宋_GB2312"/>
          <w:sz w:val="32"/>
          <w:szCs w:val="32"/>
        </w:rPr>
      </w:pPr>
      <w:r>
        <w:rPr>
          <w:rFonts w:hint="eastAsia" w:ascii="黑体" w:hAnsi="黑体" w:eastAsia="黑体"/>
          <w:sz w:val="32"/>
          <w:szCs w:val="32"/>
        </w:rPr>
        <w:t>1、金融产业规模更大</w:t>
      </w:r>
      <w:r>
        <w:rPr>
          <w:rFonts w:hint="eastAsia" w:hAnsi="黑体" w:eastAsia="仿宋_GB2312"/>
          <w:sz w:val="32"/>
          <w:szCs w:val="32"/>
        </w:rPr>
        <w:t>。金融与实体经济、乡村振兴、技术创新、绿色发展、共同富裕等同步匹配，永嘉金融业增加值占GDP比重到7.0%左右，年均增速达7.0%。本外币存款余额达</w:t>
      </w:r>
      <w:r>
        <w:rPr>
          <w:rStyle w:val="83"/>
          <w:rFonts w:hint="eastAsia" w:hAnsi="仿宋_GB2312" w:eastAsia="仿宋_GB2312" w:cs="仿宋_GB2312"/>
          <w:sz w:val="32"/>
          <w:szCs w:val="32"/>
        </w:rPr>
        <w:t>13</w:t>
      </w:r>
      <w:r>
        <w:rPr>
          <w:rStyle w:val="83"/>
          <w:rFonts w:hint="eastAsia" w:hAnsi="仿宋_GB2312" w:eastAsia="仿宋_GB2312" w:cs="仿宋_GB2312"/>
          <w:sz w:val="32"/>
          <w:szCs w:val="32"/>
          <w:lang w:val="en-US" w:eastAsia="zh-CN"/>
        </w:rPr>
        <w:t>5</w:t>
      </w:r>
      <w:r>
        <w:rPr>
          <w:rStyle w:val="83"/>
          <w:rFonts w:hint="eastAsia" w:hAnsi="仿宋_GB2312" w:eastAsia="仿宋_GB2312" w:cs="仿宋_GB2312"/>
          <w:sz w:val="32"/>
          <w:szCs w:val="32"/>
        </w:rPr>
        <w:t>0亿元左右、贷款余额约12</w:t>
      </w:r>
      <w:r>
        <w:rPr>
          <w:rStyle w:val="83"/>
          <w:rFonts w:hint="eastAsia" w:hAnsi="仿宋_GB2312" w:eastAsia="仿宋_GB2312" w:cs="仿宋_GB2312"/>
          <w:sz w:val="32"/>
          <w:szCs w:val="32"/>
          <w:lang w:val="en-US" w:eastAsia="zh-CN"/>
        </w:rPr>
        <w:t>5</w:t>
      </w:r>
      <w:r>
        <w:rPr>
          <w:rStyle w:val="83"/>
          <w:rFonts w:hint="eastAsia" w:hAnsi="仿宋_GB2312" w:eastAsia="仿宋_GB2312" w:cs="仿宋_GB2312"/>
          <w:sz w:val="32"/>
          <w:szCs w:val="32"/>
        </w:rPr>
        <w:t xml:space="preserve">0亿元，实现保费收入约30亿元。  </w:t>
      </w:r>
    </w:p>
    <w:p>
      <w:pPr>
        <w:adjustRightInd w:val="0"/>
        <w:snapToGrid w:val="0"/>
        <w:spacing w:line="360" w:lineRule="auto"/>
        <w:ind w:firstLine="640" w:firstLineChars="200"/>
        <w:rPr>
          <w:rFonts w:hAnsi="黑体" w:eastAsia="仿宋_GB2312"/>
          <w:color w:val="auto"/>
          <w:sz w:val="32"/>
          <w:szCs w:val="32"/>
        </w:rPr>
      </w:pPr>
      <w:r>
        <w:rPr>
          <w:rFonts w:hint="eastAsia" w:ascii="黑体" w:hAnsi="黑体" w:eastAsia="黑体"/>
          <w:sz w:val="32"/>
          <w:szCs w:val="32"/>
        </w:rPr>
        <w:t>2、金融服务水平更高。</w:t>
      </w:r>
      <w:r>
        <w:rPr>
          <w:rFonts w:hint="eastAsia" w:hAnsi="仿宋_GB2312" w:eastAsia="仿宋_GB2312" w:cs="仿宋_GB2312"/>
          <w:sz w:val="32"/>
          <w:szCs w:val="32"/>
        </w:rPr>
        <w:t>金融服务精准性、便利性、有效性全面提</w:t>
      </w:r>
      <w:r>
        <w:rPr>
          <w:rFonts w:hint="eastAsia" w:hAnsi="黑体" w:eastAsia="仿宋_GB2312"/>
          <w:sz w:val="32"/>
          <w:szCs w:val="32"/>
        </w:rPr>
        <w:t>升，制造业贷款达到</w:t>
      </w:r>
      <w:r>
        <w:rPr>
          <w:rFonts w:hint="eastAsia" w:hAnsi="黑体" w:eastAsia="仿宋_GB2312"/>
          <w:sz w:val="32"/>
          <w:szCs w:val="32"/>
          <w:lang w:val="en-US" w:eastAsia="zh-CN"/>
        </w:rPr>
        <w:t>200</w:t>
      </w:r>
      <w:r>
        <w:rPr>
          <w:rFonts w:hint="eastAsia" w:hAnsi="黑体" w:eastAsia="仿宋_GB2312"/>
          <w:sz w:val="32"/>
          <w:szCs w:val="32"/>
        </w:rPr>
        <w:t>亿元左右、占贷款余额比重</w:t>
      </w:r>
      <w:r>
        <w:rPr>
          <w:rFonts w:hint="eastAsia" w:hAnsi="黑体" w:eastAsia="仿宋_GB2312"/>
          <w:sz w:val="32"/>
          <w:szCs w:val="32"/>
          <w:lang w:val="en-US" w:eastAsia="zh-CN"/>
        </w:rPr>
        <w:t>16</w:t>
      </w:r>
      <w:r>
        <w:rPr>
          <w:rFonts w:hint="eastAsia" w:hAnsi="黑体" w:eastAsia="仿宋_GB2312"/>
          <w:sz w:val="32"/>
          <w:szCs w:val="32"/>
        </w:rPr>
        <w:t>%左右；</w:t>
      </w:r>
      <w:r>
        <w:rPr>
          <w:rFonts w:hint="eastAsia" w:hAnsi="Tahoma" w:eastAsia="仿宋_GB2312" w:cs="仿宋_GB2312"/>
          <w:kern w:val="0"/>
          <w:sz w:val="32"/>
          <w:szCs w:val="32"/>
          <w:lang w:bidi="ar"/>
        </w:rPr>
        <w:t>绿色信贷增速高于各项贷款平均增速；</w:t>
      </w:r>
      <w:r>
        <w:rPr>
          <w:rFonts w:hint="eastAsia" w:hAnsi="黑体" w:eastAsia="仿宋_GB2312"/>
          <w:sz w:val="32"/>
          <w:szCs w:val="32"/>
        </w:rPr>
        <w:t>小微企业贷款余额达到</w:t>
      </w:r>
      <w:r>
        <w:rPr>
          <w:rFonts w:hint="eastAsia" w:hAnsi="黑体" w:eastAsia="仿宋_GB2312"/>
          <w:sz w:val="32"/>
          <w:szCs w:val="32"/>
          <w:lang w:val="en-US" w:eastAsia="zh-CN"/>
        </w:rPr>
        <w:t>460</w:t>
      </w:r>
      <w:r>
        <w:rPr>
          <w:rFonts w:hint="eastAsia" w:hAnsi="黑体" w:eastAsia="仿宋_GB2312"/>
          <w:sz w:val="32"/>
          <w:szCs w:val="32"/>
        </w:rPr>
        <w:t>亿元左右、占贷款余额比重</w:t>
      </w:r>
      <w:r>
        <w:rPr>
          <w:rFonts w:hint="eastAsia" w:hAnsi="黑体" w:eastAsia="仿宋_GB2312"/>
          <w:sz w:val="32"/>
          <w:szCs w:val="32"/>
          <w:lang w:val="en-US" w:eastAsia="zh-CN"/>
        </w:rPr>
        <w:t>38</w:t>
      </w:r>
      <w:r>
        <w:rPr>
          <w:rFonts w:hint="eastAsia" w:hAnsi="黑体" w:eastAsia="仿宋_GB2312"/>
          <w:sz w:val="32"/>
          <w:szCs w:val="32"/>
        </w:rPr>
        <w:t>%左右</w:t>
      </w:r>
      <w:r>
        <w:rPr>
          <w:rFonts w:hint="eastAsia" w:hAnsi="黑体" w:eastAsia="仿宋_GB2312"/>
          <w:color w:val="auto"/>
          <w:sz w:val="32"/>
          <w:szCs w:val="32"/>
        </w:rPr>
        <w:t>。</w:t>
      </w:r>
    </w:p>
    <w:p>
      <w:pPr>
        <w:adjustRightInd w:val="0"/>
        <w:snapToGrid w:val="0"/>
        <w:spacing w:line="360" w:lineRule="auto"/>
        <w:ind w:firstLine="640" w:firstLineChars="200"/>
        <w:rPr>
          <w:rFonts w:hAnsi="仿宋_GB2312" w:eastAsia="仿宋_GB2312" w:cs="仿宋_GB2312"/>
          <w:color w:val="000000"/>
          <w:kern w:val="0"/>
          <w:sz w:val="32"/>
          <w:szCs w:val="32"/>
          <w:lang w:bidi="ar"/>
        </w:rPr>
      </w:pPr>
      <w:r>
        <w:rPr>
          <w:rFonts w:hint="eastAsia" w:ascii="黑体" w:hAnsi="黑体" w:eastAsia="黑体"/>
          <w:sz w:val="32"/>
          <w:szCs w:val="32"/>
        </w:rPr>
        <w:t>3、上市工作成效更好</w:t>
      </w:r>
      <w:r>
        <w:rPr>
          <w:rFonts w:hint="eastAsia" w:hAnsi="黑体" w:eastAsia="仿宋_GB2312"/>
          <w:sz w:val="32"/>
          <w:szCs w:val="32"/>
        </w:rPr>
        <w:t>。</w:t>
      </w:r>
      <w:r>
        <w:rPr>
          <w:rFonts w:hint="eastAsia" w:hAnsi="仿宋_GB2312" w:eastAsia="仿宋_GB2312" w:cs="仿宋_GB2312"/>
          <w:color w:val="000000"/>
          <w:kern w:val="0"/>
          <w:sz w:val="32"/>
          <w:szCs w:val="32"/>
          <w:lang w:bidi="ar"/>
        </w:rPr>
        <w:t>上市梯队扩容提质，直接融资渠道更为畅通，全县上市企业达到10家，拟上市企业10家，融资额达到40亿元以上</w:t>
      </w:r>
      <w:r>
        <w:rPr>
          <w:rFonts w:hint="eastAsia" w:hAnsi="仿宋_GB2312" w:eastAsia="仿宋_GB2312" w:cs="仿宋_GB2312"/>
          <w:kern w:val="0"/>
          <w:sz w:val="32"/>
          <w:szCs w:val="32"/>
          <w:lang w:bidi="ar"/>
        </w:rPr>
        <w:t>,</w:t>
      </w:r>
      <w:r>
        <w:rPr>
          <w:rFonts w:hint="eastAsia" w:hAnsi="仿宋_GB2312" w:eastAsia="仿宋_GB2312" w:cs="仿宋_GB2312"/>
          <w:color w:val="000000"/>
          <w:kern w:val="0"/>
          <w:sz w:val="32"/>
          <w:szCs w:val="32"/>
          <w:lang w:bidi="ar"/>
        </w:rPr>
        <w:t>形成有特色、有活力的资本市场“永嘉板块”。</w:t>
      </w:r>
    </w:p>
    <w:p>
      <w:pPr>
        <w:adjustRightInd w:val="0"/>
        <w:snapToGrid w:val="0"/>
        <w:spacing w:line="360" w:lineRule="auto"/>
        <w:ind w:firstLine="640" w:firstLineChars="200"/>
        <w:rPr>
          <w:rFonts w:ascii="黑体" w:hAnsi="黑体" w:eastAsia="黑体" w:cs="仿宋"/>
          <w:color w:val="000000"/>
          <w:kern w:val="0"/>
          <w:sz w:val="32"/>
          <w:szCs w:val="32"/>
          <w:lang w:bidi="ar"/>
        </w:rPr>
      </w:pPr>
      <w:r>
        <w:rPr>
          <w:rFonts w:hint="eastAsia" w:ascii="黑体" w:hAnsi="黑体" w:eastAsia="黑体"/>
          <w:sz w:val="32"/>
          <w:szCs w:val="32"/>
        </w:rPr>
        <w:t>4、金融发展环境更优</w:t>
      </w:r>
      <w:r>
        <w:rPr>
          <w:rFonts w:hint="eastAsia" w:hAnsi="仿宋_GB2312" w:eastAsia="仿宋_GB2312" w:cs="仿宋_GB2312"/>
          <w:color w:val="000000"/>
          <w:kern w:val="0"/>
          <w:sz w:val="32"/>
          <w:szCs w:val="32"/>
          <w:lang w:bidi="ar"/>
        </w:rPr>
        <w:t>。“强治理、化风险、建信用、优供给”金融生态环境基本形成，人才队伍建设取得重大进展；信用体系更加健全，银行业不良贷款率低于全市平均水平；政策性融资担保余额达8亿元。</w:t>
      </w:r>
    </w:p>
    <w:p>
      <w:pPr>
        <w:widowControl/>
        <w:adjustRightInd w:val="0"/>
        <w:snapToGrid w:val="0"/>
        <w:jc w:val="center"/>
        <w:textAlignment w:val="center"/>
        <w:rPr>
          <w:rFonts w:ascii="黑体" w:hAnsi="黑体" w:eastAsia="黑体" w:cs="仿宋"/>
          <w:color w:val="000000"/>
          <w:kern w:val="0"/>
          <w:sz w:val="32"/>
          <w:szCs w:val="32"/>
          <w:lang w:bidi="ar"/>
        </w:rPr>
      </w:pPr>
    </w:p>
    <w:p>
      <w:pPr>
        <w:widowControl/>
        <w:adjustRightInd w:val="0"/>
        <w:snapToGrid w:val="0"/>
        <w:jc w:val="center"/>
        <w:textAlignment w:val="center"/>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永嘉金融业发展“十四五”规划指标体系</w:t>
      </w:r>
    </w:p>
    <w:tbl>
      <w:tblPr>
        <w:tblStyle w:val="25"/>
        <w:tblpPr w:leftFromText="180" w:rightFromText="180" w:vertAnchor="text" w:horzAnchor="page" w:tblpX="1747" w:tblpY="275"/>
        <w:tblOverlap w:val="never"/>
        <w:tblW w:w="8064" w:type="dxa"/>
        <w:tblInd w:w="0" w:type="dxa"/>
        <w:tblLayout w:type="fixed"/>
        <w:tblCellMar>
          <w:top w:w="0" w:type="dxa"/>
          <w:left w:w="0" w:type="dxa"/>
          <w:bottom w:w="0" w:type="dxa"/>
          <w:right w:w="0" w:type="dxa"/>
        </w:tblCellMar>
      </w:tblPr>
      <w:tblGrid>
        <w:gridCol w:w="1349"/>
        <w:gridCol w:w="2271"/>
        <w:gridCol w:w="1913"/>
        <w:gridCol w:w="2531"/>
      </w:tblGrid>
      <w:tr>
        <w:tblPrEx>
          <w:tblCellMar>
            <w:top w:w="0" w:type="dxa"/>
            <w:left w:w="0" w:type="dxa"/>
            <w:bottom w:w="0" w:type="dxa"/>
            <w:right w:w="0" w:type="dxa"/>
          </w:tblCellMar>
        </w:tblPrEx>
        <w:trPr>
          <w:trHeight w:val="467" w:hRule="atLeast"/>
        </w:trPr>
        <w:tc>
          <w:tcPr>
            <w:tcW w:w="134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类别</w:t>
            </w:r>
          </w:p>
        </w:tc>
        <w:tc>
          <w:tcPr>
            <w:tcW w:w="227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相关指标</w:t>
            </w:r>
          </w:p>
        </w:tc>
        <w:tc>
          <w:tcPr>
            <w:tcW w:w="191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jc w:val="center"/>
              <w:textAlignment w:val="center"/>
              <w:rPr>
                <w:rFonts w:ascii="仿宋" w:hAnsi="仿宋" w:eastAsia="仿宋" w:cs="仿宋"/>
                <w:b/>
                <w:color w:val="000000"/>
                <w:kern w:val="0"/>
                <w:sz w:val="28"/>
                <w:szCs w:val="28"/>
                <w:lang w:bidi="ar"/>
              </w:rPr>
            </w:pPr>
          </w:p>
          <w:p>
            <w:pPr>
              <w:widowControl/>
              <w:adjustRightInd w:val="0"/>
              <w:snapToGrid w:val="0"/>
              <w:jc w:val="center"/>
              <w:textAlignment w:val="center"/>
              <w:rPr>
                <w:rFonts w:ascii="仿宋" w:hAnsi="仿宋" w:eastAsia="仿宋" w:cs="仿宋"/>
                <w:b/>
                <w:color w:val="000000"/>
                <w:kern w:val="0"/>
                <w:sz w:val="28"/>
                <w:szCs w:val="28"/>
                <w:lang w:bidi="ar"/>
              </w:rPr>
            </w:pPr>
            <w:r>
              <w:rPr>
                <w:rFonts w:hint="eastAsia" w:ascii="仿宋" w:hAnsi="仿宋" w:eastAsia="仿宋" w:cs="仿宋"/>
                <w:b/>
                <w:color w:val="000000"/>
                <w:kern w:val="0"/>
                <w:sz w:val="28"/>
                <w:szCs w:val="28"/>
                <w:lang w:bidi="ar"/>
              </w:rPr>
              <w:t>2020年数值</w:t>
            </w:r>
          </w:p>
          <w:p>
            <w:pPr>
              <w:widowControl/>
              <w:adjustRightInd w:val="0"/>
              <w:snapToGrid w:val="0"/>
              <w:ind w:firstLine="562" w:firstLineChars="200"/>
              <w:jc w:val="center"/>
              <w:textAlignment w:val="center"/>
              <w:rPr>
                <w:rFonts w:ascii="仿宋" w:hAnsi="仿宋" w:eastAsia="仿宋" w:cs="仿宋"/>
                <w:b/>
                <w:color w:val="000000"/>
                <w:sz w:val="28"/>
                <w:szCs w:val="28"/>
              </w:rPr>
            </w:pPr>
          </w:p>
        </w:tc>
        <w:tc>
          <w:tcPr>
            <w:tcW w:w="253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ind w:left="560" w:leftChars="133" w:hanging="281" w:hangingChars="100"/>
              <w:jc w:val="left"/>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lang w:bidi="ar"/>
              </w:rPr>
              <w:t>2025年目标值</w:t>
            </w:r>
          </w:p>
        </w:tc>
      </w:tr>
      <w:tr>
        <w:tblPrEx>
          <w:tblCellMar>
            <w:top w:w="0" w:type="dxa"/>
            <w:left w:w="0" w:type="dxa"/>
            <w:bottom w:w="0" w:type="dxa"/>
            <w:right w:w="0" w:type="dxa"/>
          </w:tblCellMar>
        </w:tblPrEx>
        <w:trPr>
          <w:trHeight w:val="499" w:hRule="atLeast"/>
        </w:trPr>
        <w:tc>
          <w:tcPr>
            <w:tcW w:w="1349" w:type="dxa"/>
            <w:tcBorders>
              <w:top w:val="nil"/>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金融业增加值</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29.7亿元</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bidi="ar"/>
              </w:rPr>
              <w:t>4</w:t>
            </w:r>
            <w:r>
              <w:rPr>
                <w:rFonts w:hint="eastAsia" w:ascii="宋体" w:hAnsi="宋体" w:cs="宋体"/>
                <w:color w:val="000000"/>
                <w:kern w:val="0"/>
                <w:sz w:val="28"/>
                <w:szCs w:val="28"/>
                <w:lang w:val="en-US" w:eastAsia="zh-CN" w:bidi="ar"/>
              </w:rPr>
              <w:t>5</w:t>
            </w:r>
            <w:r>
              <w:rPr>
                <w:rFonts w:hint="eastAsia" w:ascii="宋体" w:hAnsi="宋体" w:cs="宋体"/>
                <w:color w:val="000000"/>
                <w:kern w:val="0"/>
                <w:sz w:val="28"/>
                <w:szCs w:val="28"/>
                <w:lang w:bidi="ar"/>
              </w:rPr>
              <w:t>亿元</w:t>
            </w:r>
          </w:p>
        </w:tc>
      </w:tr>
      <w:tr>
        <w:tblPrEx>
          <w:tblCellMar>
            <w:top w:w="0" w:type="dxa"/>
            <w:left w:w="0" w:type="dxa"/>
            <w:bottom w:w="0" w:type="dxa"/>
            <w:right w:w="0" w:type="dxa"/>
          </w:tblCellMar>
        </w:tblPrEx>
        <w:trPr>
          <w:trHeight w:val="1143" w:hRule="atLeast"/>
        </w:trPr>
        <w:tc>
          <w:tcPr>
            <w:tcW w:w="1349" w:type="dxa"/>
            <w:vMerge w:val="restart"/>
            <w:tcBorders>
              <w:top w:val="nil"/>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总量规模</w:t>
            </w: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金融业增加值占GDP比重</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6.4%</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7%</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本外币存款</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 xml:space="preserve">941.8亿元 </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13</w:t>
            </w:r>
            <w:r>
              <w:rPr>
                <w:rFonts w:hint="eastAsia" w:ascii="宋体" w:hAnsi="宋体" w:cs="宋体"/>
                <w:color w:val="000000"/>
                <w:kern w:val="0"/>
                <w:sz w:val="28"/>
                <w:szCs w:val="28"/>
                <w:lang w:val="en-US" w:eastAsia="zh-CN" w:bidi="ar"/>
              </w:rPr>
              <w:t>5</w:t>
            </w:r>
            <w:r>
              <w:rPr>
                <w:rFonts w:hint="eastAsia" w:ascii="宋体" w:hAnsi="宋体" w:cs="宋体"/>
                <w:color w:val="000000"/>
                <w:kern w:val="0"/>
                <w:sz w:val="28"/>
                <w:szCs w:val="28"/>
                <w:lang w:bidi="ar"/>
              </w:rPr>
              <w:t>0亿元</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本外币贷款</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885.3亿元</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12</w:t>
            </w:r>
            <w:r>
              <w:rPr>
                <w:rFonts w:hint="eastAsia" w:ascii="宋体" w:hAnsi="宋体" w:cs="宋体"/>
                <w:color w:val="000000"/>
                <w:kern w:val="0"/>
                <w:sz w:val="28"/>
                <w:szCs w:val="28"/>
                <w:lang w:val="en-US" w:eastAsia="zh-CN" w:bidi="ar"/>
              </w:rPr>
              <w:t>5</w:t>
            </w:r>
            <w:r>
              <w:rPr>
                <w:rFonts w:hint="eastAsia" w:ascii="宋体" w:hAnsi="宋体" w:cs="宋体"/>
                <w:color w:val="000000"/>
                <w:kern w:val="0"/>
                <w:sz w:val="28"/>
                <w:szCs w:val="28"/>
                <w:lang w:bidi="ar"/>
              </w:rPr>
              <w:t>0亿元</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保费收入</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21亿元</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30亿元</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制造业贷款</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163.8亿元</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val="en-US" w:eastAsia="zh-CN" w:bidi="ar"/>
              </w:rPr>
              <w:t>200</w:t>
            </w:r>
            <w:r>
              <w:rPr>
                <w:rFonts w:hint="eastAsia" w:ascii="宋体" w:hAnsi="宋体" w:cs="宋体"/>
                <w:color w:val="000000"/>
                <w:kern w:val="0"/>
                <w:sz w:val="28"/>
                <w:szCs w:val="28"/>
                <w:lang w:bidi="ar"/>
              </w:rPr>
              <w:t>亿元</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小微</w:t>
            </w:r>
            <w:r>
              <w:rPr>
                <w:rFonts w:hint="eastAsia" w:ascii="仿宋" w:hAnsi="仿宋" w:eastAsia="仿宋" w:cs="仿宋"/>
                <w:color w:val="000000"/>
                <w:kern w:val="0"/>
                <w:sz w:val="28"/>
                <w:szCs w:val="28"/>
                <w:lang w:eastAsia="zh-CN" w:bidi="ar"/>
              </w:rPr>
              <w:t>企业</w:t>
            </w:r>
            <w:r>
              <w:rPr>
                <w:rFonts w:hint="eastAsia" w:ascii="仿宋" w:hAnsi="仿宋" w:eastAsia="仿宋" w:cs="仿宋"/>
                <w:color w:val="000000"/>
                <w:kern w:val="0"/>
                <w:sz w:val="28"/>
                <w:szCs w:val="28"/>
                <w:lang w:bidi="ar"/>
              </w:rPr>
              <w:t>贷款</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299.6亿元</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val="en-US" w:eastAsia="zh-CN" w:bidi="ar"/>
              </w:rPr>
              <w:t>460</w:t>
            </w:r>
            <w:r>
              <w:rPr>
                <w:rFonts w:hint="eastAsia" w:ascii="宋体" w:hAnsi="宋体" w:cs="宋体"/>
                <w:color w:val="000000"/>
                <w:kern w:val="0"/>
                <w:sz w:val="28"/>
                <w:szCs w:val="28"/>
                <w:lang w:bidi="ar"/>
              </w:rPr>
              <w:t>亿元</w:t>
            </w:r>
          </w:p>
        </w:tc>
      </w:tr>
      <w:tr>
        <w:tblPrEx>
          <w:tblCellMar>
            <w:top w:w="0" w:type="dxa"/>
            <w:left w:w="0" w:type="dxa"/>
            <w:bottom w:w="0" w:type="dxa"/>
            <w:right w:w="0" w:type="dxa"/>
          </w:tblCellMar>
        </w:tblPrEx>
        <w:trPr>
          <w:trHeight w:val="499" w:hRule="atLeast"/>
        </w:trPr>
        <w:tc>
          <w:tcPr>
            <w:tcW w:w="1349"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上市成效</w:t>
            </w: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上市企业数</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840" w:firstLineChars="300"/>
              <w:textAlignment w:val="center"/>
              <w:rPr>
                <w:rFonts w:ascii="宋体" w:hAnsi="宋体" w:cs="宋体"/>
                <w:color w:val="000000"/>
                <w:sz w:val="28"/>
                <w:szCs w:val="28"/>
              </w:rPr>
            </w:pPr>
            <w:r>
              <w:rPr>
                <w:rFonts w:hint="eastAsia" w:ascii="宋体" w:hAnsi="宋体" w:cs="宋体"/>
                <w:color w:val="000000"/>
                <w:kern w:val="0"/>
                <w:sz w:val="28"/>
                <w:szCs w:val="28"/>
                <w:lang w:bidi="ar"/>
              </w:rPr>
              <w:t>5家</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840" w:firstLineChars="300"/>
              <w:textAlignment w:val="center"/>
              <w:rPr>
                <w:rFonts w:ascii="宋体" w:hAnsi="宋体" w:cs="宋体"/>
                <w:color w:val="000000"/>
                <w:sz w:val="28"/>
                <w:szCs w:val="28"/>
              </w:rPr>
            </w:pPr>
            <w:r>
              <w:rPr>
                <w:rFonts w:hint="eastAsia" w:ascii="宋体" w:hAnsi="宋体" w:cs="宋体"/>
                <w:color w:val="000000"/>
                <w:kern w:val="0"/>
                <w:sz w:val="28"/>
                <w:szCs w:val="28"/>
                <w:lang w:bidi="ar"/>
              </w:rPr>
              <w:t>10家</w:t>
            </w:r>
          </w:p>
        </w:tc>
      </w:tr>
      <w:tr>
        <w:tblPrEx>
          <w:tblCellMar>
            <w:top w:w="0" w:type="dxa"/>
            <w:left w:w="0" w:type="dxa"/>
            <w:bottom w:w="0" w:type="dxa"/>
            <w:right w:w="0" w:type="dxa"/>
          </w:tblCellMar>
        </w:tblPrEx>
        <w:trPr>
          <w:trHeight w:val="499" w:hRule="atLeast"/>
        </w:trPr>
        <w:tc>
          <w:tcPr>
            <w:tcW w:w="1349"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8"/>
                <w:szCs w:val="28"/>
              </w:rPr>
            </w:pP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拟上市企业</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840" w:firstLineChars="300"/>
              <w:textAlignment w:val="center"/>
              <w:rPr>
                <w:rFonts w:ascii="宋体" w:hAnsi="宋体" w:cs="宋体"/>
                <w:color w:val="000000"/>
                <w:sz w:val="28"/>
                <w:szCs w:val="28"/>
              </w:rPr>
            </w:pPr>
            <w:r>
              <w:rPr>
                <w:rFonts w:hint="eastAsia" w:ascii="宋体" w:hAnsi="宋体" w:cs="宋体"/>
                <w:color w:val="000000"/>
                <w:sz w:val="28"/>
                <w:szCs w:val="28"/>
              </w:rPr>
              <w:t xml:space="preserve">5家 </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840" w:firstLineChars="300"/>
              <w:textAlignment w:val="center"/>
              <w:rPr>
                <w:rFonts w:ascii="宋体" w:hAnsi="宋体" w:cs="宋体"/>
                <w:color w:val="000000"/>
                <w:sz w:val="28"/>
                <w:szCs w:val="28"/>
              </w:rPr>
            </w:pPr>
            <w:r>
              <w:rPr>
                <w:rFonts w:hint="eastAsia" w:ascii="宋体" w:hAnsi="宋体" w:cs="宋体"/>
                <w:color w:val="000000"/>
                <w:kern w:val="0"/>
                <w:sz w:val="28"/>
                <w:szCs w:val="28"/>
                <w:lang w:bidi="ar"/>
              </w:rPr>
              <w:t>10家</w:t>
            </w:r>
          </w:p>
        </w:tc>
      </w:tr>
      <w:tr>
        <w:tblPrEx>
          <w:tblCellMar>
            <w:top w:w="0" w:type="dxa"/>
            <w:left w:w="0" w:type="dxa"/>
            <w:bottom w:w="0" w:type="dxa"/>
            <w:right w:w="0" w:type="dxa"/>
          </w:tblCellMar>
        </w:tblPrEx>
        <w:trPr>
          <w:trHeight w:val="570" w:hRule="atLeast"/>
        </w:trPr>
        <w:tc>
          <w:tcPr>
            <w:tcW w:w="1349" w:type="dxa"/>
            <w:vMerge w:val="restart"/>
            <w:tcBorders>
              <w:top w:val="nil"/>
              <w:left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发展环境</w:t>
            </w:r>
          </w:p>
        </w:tc>
        <w:tc>
          <w:tcPr>
            <w:tcW w:w="227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 xml:space="preserve">银行业不良率  </w:t>
            </w:r>
          </w:p>
        </w:tc>
        <w:tc>
          <w:tcPr>
            <w:tcW w:w="191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bidi="ar"/>
              </w:rPr>
              <w:t>0.55%</w:t>
            </w:r>
          </w:p>
        </w:tc>
        <w:tc>
          <w:tcPr>
            <w:tcW w:w="253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220" w:firstLineChars="100"/>
              <w:jc w:val="center"/>
              <w:textAlignment w:val="center"/>
              <w:rPr>
                <w:rFonts w:ascii="宋体" w:hAnsi="宋体" w:cs="宋体"/>
                <w:color w:val="000000"/>
                <w:sz w:val="28"/>
                <w:szCs w:val="28"/>
              </w:rPr>
            </w:pPr>
            <w:r>
              <w:rPr>
                <w:rFonts w:hint="eastAsia" w:ascii="宋体" w:hAnsi="宋体" w:cs="宋体"/>
                <w:color w:val="000000"/>
                <w:kern w:val="0"/>
                <w:sz w:val="22"/>
                <w:szCs w:val="22"/>
                <w:lang w:bidi="ar"/>
              </w:rPr>
              <w:t>低于全市平均水平</w:t>
            </w:r>
          </w:p>
        </w:tc>
      </w:tr>
      <w:tr>
        <w:tblPrEx>
          <w:tblCellMar>
            <w:top w:w="0" w:type="dxa"/>
            <w:left w:w="0" w:type="dxa"/>
            <w:bottom w:w="0" w:type="dxa"/>
            <w:right w:w="0" w:type="dxa"/>
          </w:tblCellMar>
        </w:tblPrEx>
        <w:trPr>
          <w:trHeight w:val="570" w:hRule="atLeast"/>
        </w:trPr>
        <w:tc>
          <w:tcPr>
            <w:tcW w:w="1349"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kern w:val="0"/>
                <w:sz w:val="28"/>
                <w:szCs w:val="28"/>
                <w:lang w:bidi="ar"/>
              </w:rPr>
            </w:pP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textAlignment w:val="center"/>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信用贷款</w:t>
            </w:r>
          </w:p>
        </w:tc>
        <w:tc>
          <w:tcPr>
            <w:tcW w:w="19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8"/>
                <w:szCs w:val="28"/>
                <w:lang w:bidi="ar"/>
              </w:rPr>
            </w:pPr>
            <w:r>
              <w:rPr>
                <w:rFonts w:hint="eastAsia" w:ascii="宋体" w:hAnsi="宋体" w:cs="宋体"/>
                <w:color w:val="000000"/>
                <w:kern w:val="0"/>
                <w:sz w:val="28"/>
                <w:szCs w:val="28"/>
                <w:lang w:val="en-US" w:eastAsia="zh-CN" w:bidi="ar"/>
              </w:rPr>
              <w:t>96.26</w:t>
            </w:r>
            <w:r>
              <w:rPr>
                <w:rFonts w:hint="eastAsia" w:ascii="宋体" w:hAnsi="宋体" w:cs="宋体"/>
                <w:color w:val="000000"/>
                <w:kern w:val="0"/>
                <w:sz w:val="28"/>
                <w:szCs w:val="28"/>
                <w:lang w:bidi="ar"/>
              </w:rPr>
              <w:t>亿元</w:t>
            </w:r>
          </w:p>
        </w:tc>
        <w:tc>
          <w:tcPr>
            <w:tcW w:w="253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122亿元</w:t>
            </w:r>
          </w:p>
        </w:tc>
      </w:tr>
    </w:tbl>
    <w:p>
      <w:pPr>
        <w:pStyle w:val="2"/>
      </w:pPr>
    </w:p>
    <w:p>
      <w:pPr>
        <w:pStyle w:val="4"/>
        <w:spacing w:before="0" w:beforeAutospacing="0" w:after="0" w:afterAutospacing="0" w:line="360" w:lineRule="auto"/>
        <w:ind w:firstLine="643" w:firstLineChars="200"/>
        <w:rPr>
          <w:rFonts w:ascii="黑体" w:hAnsi="黑体" w:eastAsia="黑体"/>
          <w:sz w:val="32"/>
          <w:szCs w:val="32"/>
        </w:rPr>
      </w:pPr>
      <w:bookmarkStart w:id="9" w:name="_Toc63166568"/>
      <w:r>
        <w:rPr>
          <w:rFonts w:hint="eastAsia" w:ascii="黑体" w:hAnsi="黑体" w:eastAsia="黑体"/>
          <w:sz w:val="32"/>
          <w:szCs w:val="32"/>
        </w:rPr>
        <w:t>三、坚持高质量主题，着力打造现代金融产业体系</w:t>
      </w:r>
      <w:bookmarkEnd w:id="9"/>
    </w:p>
    <w:p>
      <w:pPr>
        <w:adjustRightInd w:val="0"/>
        <w:snapToGrid w:val="0"/>
        <w:spacing w:line="360" w:lineRule="auto"/>
        <w:ind w:firstLine="640" w:firstLineChars="200"/>
        <w:rPr>
          <w:rFonts w:ascii="Times New Roman" w:hAnsi="Times New Roman" w:eastAsia="仿宋_GB2312"/>
          <w:sz w:val="32"/>
          <w:szCs w:val="32"/>
        </w:rPr>
      </w:pPr>
      <w:r>
        <w:rPr>
          <w:rFonts w:hint="eastAsia" w:hAnsi="仿宋_GB2312" w:eastAsia="仿宋_GB2312" w:cs="仿宋_GB2312"/>
          <w:color w:val="000000" w:themeColor="text1"/>
          <w:sz w:val="32"/>
          <w:szCs w:val="32"/>
          <w:shd w:val="clear" w:color="auto" w:fill="FFFFFF"/>
          <w14:textFill>
            <w14:solidFill>
              <w14:schemeClr w14:val="tx1"/>
            </w14:solidFill>
          </w14:textFill>
        </w:rPr>
        <w:t>紧扣服务实体经济，系统推进金融业全面协调发展，统筹</w:t>
      </w:r>
      <w:r>
        <w:rPr>
          <w:rFonts w:hint="eastAsia" w:ascii="Times New Roman" w:hAnsi="Times New Roman" w:eastAsia="仿宋_GB2312"/>
          <w:sz w:val="32"/>
          <w:szCs w:val="32"/>
        </w:rPr>
        <w:t>推进直接和间接融资发展，构建与高质量发展、现代化建设、竞争力提升相适应、相匹配的现代金融产业体系。</w:t>
      </w:r>
    </w:p>
    <w:p>
      <w:pPr>
        <w:pStyle w:val="5"/>
        <w:spacing w:before="0" w:after="0" w:line="360" w:lineRule="auto"/>
        <w:ind w:firstLine="643" w:firstLineChars="200"/>
        <w:rPr>
          <w:rFonts w:ascii="黑体" w:hAnsi="黑体" w:eastAsia="黑体"/>
        </w:rPr>
      </w:pPr>
      <w:bookmarkStart w:id="10" w:name="_Toc63166569"/>
      <w:r>
        <w:rPr>
          <w:rFonts w:hint="eastAsia" w:ascii="黑体" w:hAnsi="黑体" w:eastAsia="黑体"/>
        </w:rPr>
        <w:t>(一)加快打造资本市场永嘉板块</w:t>
      </w:r>
      <w:bookmarkEnd w:id="10"/>
    </w:p>
    <w:p>
      <w:pPr>
        <w:adjustRightInd w:val="0"/>
        <w:snapToGrid w:val="0"/>
        <w:spacing w:line="360" w:lineRule="auto"/>
        <w:ind w:firstLine="640" w:firstLineChars="200"/>
        <w:rPr>
          <w:rFonts w:eastAsia="仿宋_GB2312"/>
          <w:sz w:val="32"/>
          <w:szCs w:val="32"/>
        </w:rPr>
      </w:pPr>
      <w:r>
        <w:rPr>
          <w:rFonts w:hint="eastAsia" w:ascii="Times New Roman" w:hAnsi="Times New Roman" w:eastAsia="仿宋_GB2312"/>
          <w:sz w:val="32"/>
          <w:szCs w:val="32"/>
        </w:rPr>
        <w:t>把推动优质骨干企业加快上市摆在突出位置，以对接资本市场推动产业链现代化发展，</w:t>
      </w:r>
      <w:r>
        <w:rPr>
          <w:rFonts w:hint="eastAsia" w:eastAsia="仿宋_GB2312"/>
          <w:sz w:val="32"/>
          <w:szCs w:val="32"/>
        </w:rPr>
        <w:t>助力产业集群创新发展。</w:t>
      </w:r>
    </w:p>
    <w:p>
      <w:pPr>
        <w:pStyle w:val="2"/>
        <w:adjustRightInd w:val="0"/>
        <w:snapToGrid w:val="0"/>
        <w:spacing w:after="0" w:line="360" w:lineRule="auto"/>
        <w:ind w:firstLine="645"/>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1、支持上市公司做大做强。</w:t>
      </w:r>
      <w:r>
        <w:rPr>
          <w:rFonts w:hint="eastAsia" w:hAnsi="仿宋_GB2312" w:eastAsia="仿宋_GB2312" w:cs="仿宋_GB2312"/>
          <w:color w:val="000000" w:themeColor="text1"/>
          <w:sz w:val="32"/>
          <w:szCs w:val="32"/>
          <w:shd w:val="clear" w:color="auto" w:fill="FFFFFF"/>
          <w14:textFill>
            <w14:solidFill>
              <w14:schemeClr w14:val="tx1"/>
            </w14:solidFill>
          </w14:textFill>
        </w:rPr>
        <w:t>发挥上市公司“头雁”效应，鼓励以增发、配股、发债等多种融资工具向资本市场筹集资金，通过产业重组、品牌并购、技术攻关等方式，实现创新发展、跨越发展，做大做强总部经济和产业集群。规范上市控股股东、实际控制人、关联方行为，有效杜绝大股东侵占上市公司利益行为，引导上市公司提升现代治理水平。</w:t>
      </w:r>
    </w:p>
    <w:p>
      <w:pPr>
        <w:pStyle w:val="3"/>
        <w:spacing w:line="360" w:lineRule="auto"/>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2、健全上市企业梯队培育机制</w:t>
      </w:r>
      <w:r>
        <w:rPr>
          <w:rFonts w:hint="eastAsia"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深入实施“凤凰”行动，积极推进“小升规、规改股、股上市”工作，加快形成“股改一批、储备一批、培育一批、上市一批”的上市梯队结构。加强浙江股权交易中心、新三板的有效对接，</w:t>
      </w:r>
      <w:r>
        <w:rPr>
          <w:rFonts w:hint="eastAsia" w:ascii="仿宋_GB2312" w:hAnsi="仿宋_GB2312" w:eastAsia="仿宋_GB2312" w:cs="仿宋_GB2312"/>
          <w:sz w:val="32"/>
          <w:szCs w:val="32"/>
        </w:rPr>
        <w:t>支持优质企业进入新三板创新层、精选层，用好注册制改革制度红利，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培育壮大上市企业资源储备。建立培育提升政务服务直通车渠道，结合“互联网+政务督办”等方式推进难题化解，提升入库企业培育吸引力和含金量。</w:t>
      </w:r>
    </w:p>
    <w:p>
      <w:pPr>
        <w:adjustRightInd w:val="0"/>
        <w:snapToGrid w:val="0"/>
        <w:spacing w:line="360" w:lineRule="auto"/>
        <w:ind w:firstLine="640" w:firstLineChars="200"/>
        <w:rPr>
          <w:color w:val="FF0000"/>
        </w:rPr>
      </w:pPr>
      <w:r>
        <w:rPr>
          <w:rFonts w:hint="eastAsia" w:ascii="黑体" w:hAnsi="黑体" w:eastAsia="黑体" w:cs="黑体"/>
          <w:color w:val="000000" w:themeColor="text1"/>
          <w:sz w:val="32"/>
          <w:szCs w:val="32"/>
          <w:shd w:val="clear" w:color="auto" w:fill="FFFFFF"/>
          <w14:textFill>
            <w14:solidFill>
              <w14:schemeClr w14:val="tx1"/>
            </w14:solidFill>
          </w14:textFill>
        </w:rPr>
        <w:t>3、加强企业债券融资。</w:t>
      </w:r>
      <w:r>
        <w:rPr>
          <w:rFonts w:hint="eastAsia" w:hAnsi="仿宋_GB2312" w:eastAsia="仿宋_GB2312" w:cs="仿宋_GB2312"/>
          <w:color w:val="000000" w:themeColor="text1"/>
          <w:sz w:val="32"/>
          <w:szCs w:val="32"/>
          <w:shd w:val="clear" w:color="auto" w:fill="FFFFFF"/>
          <w14:textFill>
            <w14:solidFill>
              <w14:schemeClr w14:val="tx1"/>
            </w14:solidFill>
          </w14:textFill>
        </w:rPr>
        <w:t>建立标志性产业链企业发债需求清单，运用好央行创设的民营企业债券融资支持工具，支持优质民营企业在全国银行间市场、交易所市场发行债务融资工具，扩大短期融资券、中期票据、公司债等产品的发行规模。鼓励在永金融机构提升资本市场业务能力，主动为企业发行债务融资工具提供主承销服务。鼓励国有企业通过公司债、企业债等各类债券融资，发行市政债券支持市政建设和城镇改造提升等民生工程建设。</w:t>
      </w:r>
    </w:p>
    <w:p>
      <w:pPr>
        <w:pStyle w:val="5"/>
        <w:spacing w:before="0" w:after="0" w:line="360" w:lineRule="auto"/>
        <w:ind w:firstLine="643" w:firstLineChars="200"/>
        <w:rPr>
          <w:rFonts w:ascii="黑体" w:hAnsi="黑体" w:eastAsia="黑体"/>
        </w:rPr>
      </w:pPr>
      <w:bookmarkStart w:id="11" w:name="_Toc63166570"/>
      <w:r>
        <w:rPr>
          <w:rFonts w:hint="eastAsia" w:ascii="黑体" w:hAnsi="黑体" w:eastAsia="黑体"/>
        </w:rPr>
        <w:t>（二）支持银行业机构高质量发展</w:t>
      </w:r>
      <w:bookmarkEnd w:id="11"/>
    </w:p>
    <w:p>
      <w:pPr>
        <w:pStyle w:val="2"/>
        <w:adjustRightInd w:val="0"/>
        <w:snapToGrid w:val="0"/>
        <w:spacing w:after="0" w:line="360" w:lineRule="auto"/>
        <w:ind w:firstLine="645"/>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hAnsi="仿宋_GB2312" w:eastAsia="仿宋_GB2312" w:cs="仿宋_GB2312"/>
          <w:color w:val="000000" w:themeColor="text1"/>
          <w:sz w:val="32"/>
          <w:szCs w:val="32"/>
          <w:shd w:val="clear" w:color="auto" w:fill="FFFFFF"/>
          <w14:textFill>
            <w14:solidFill>
              <w14:schemeClr w14:val="tx1"/>
            </w14:solidFill>
          </w14:textFill>
        </w:rPr>
        <w:t>支持各类银行发挥特色优势，找准市场定位，优化发展战略，开展良性竞争合作，走特色化、专业化、差异化发展道路，形成协同共赢发展格局。</w:t>
      </w:r>
    </w:p>
    <w:p>
      <w:pPr>
        <w:numPr>
          <w:ilvl w:val="255"/>
          <w:numId w:val="0"/>
        </w:numPr>
        <w:adjustRightInd w:val="0"/>
        <w:snapToGrid w:val="0"/>
        <w:spacing w:line="360" w:lineRule="auto"/>
        <w:ind w:firstLine="624" w:firstLineChars="200"/>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pacing w:val="-4"/>
          <w:sz w:val="32"/>
          <w:szCs w:val="32"/>
          <w14:textFill>
            <w14:solidFill>
              <w14:schemeClr w14:val="tx1"/>
            </w14:solidFill>
          </w14:textFill>
        </w:rPr>
        <w:t>1、发挥国有银行的大行担当作用。</w:t>
      </w:r>
      <w:r>
        <w:rPr>
          <w:rFonts w:hint="eastAsia" w:hAnsi="仿宋_GB2312" w:eastAsia="仿宋_GB2312" w:cs="仿宋_GB2312"/>
          <w:color w:val="000000" w:themeColor="text1"/>
          <w:sz w:val="32"/>
          <w:szCs w:val="32"/>
          <w:shd w:val="clear" w:color="auto" w:fill="FFFFFF"/>
          <w14:textFill>
            <w14:solidFill>
              <w14:schemeClr w14:val="tx1"/>
            </w14:solidFill>
          </w14:textFill>
        </w:rPr>
        <w:t>依托总行管理、品牌、科技等资源优势，强化担当责任，强化政银企合作，深挖我县实体经济金融需求，有效提升金融供给能力。</w:t>
      </w:r>
      <w:r>
        <w:rPr>
          <w:rFonts w:hint="eastAsia" w:ascii="黑体" w:hAnsi="黑体" w:eastAsia="黑体" w:cs="黑体"/>
          <w:color w:val="000000" w:themeColor="text1"/>
          <w:spacing w:val="-4"/>
          <w:sz w:val="32"/>
          <w:szCs w:val="32"/>
          <w14:textFill>
            <w14:solidFill>
              <w14:schemeClr w14:val="tx1"/>
            </w14:solidFill>
          </w14:textFill>
        </w:rPr>
        <w:t>一是</w:t>
      </w:r>
      <w:r>
        <w:rPr>
          <w:rFonts w:hint="eastAsia" w:hAnsi="仿宋_GB2312" w:eastAsia="仿宋_GB2312" w:cs="仿宋_GB2312"/>
          <w:color w:val="000000" w:themeColor="text1"/>
          <w:sz w:val="32"/>
          <w:szCs w:val="32"/>
          <w:shd w:val="clear" w:color="auto" w:fill="FFFFFF"/>
          <w14:textFill>
            <w14:solidFill>
              <w14:schemeClr w14:val="tx1"/>
            </w14:solidFill>
          </w14:textFill>
        </w:rPr>
        <w:t>积极向总行、省行争取更大审批权限和转授权，加大产品创新力度，满足街道、村镇的多样化金融需求，提升服务半径和服务能力。</w:t>
      </w:r>
      <w:r>
        <w:rPr>
          <w:rFonts w:hint="eastAsia" w:ascii="黑体" w:hAnsi="黑体" w:eastAsia="黑体" w:cs="黑体"/>
          <w:color w:val="000000" w:themeColor="text1"/>
          <w:spacing w:val="-4"/>
          <w:sz w:val="32"/>
          <w:szCs w:val="32"/>
          <w14:textFill>
            <w14:solidFill>
              <w14:schemeClr w14:val="tx1"/>
            </w14:solidFill>
          </w14:textFill>
        </w:rPr>
        <w:t>二是</w:t>
      </w:r>
      <w:r>
        <w:rPr>
          <w:rFonts w:hint="eastAsia" w:hAnsi="仿宋_GB2312" w:eastAsia="仿宋_GB2312" w:cs="仿宋_GB2312"/>
          <w:color w:val="000000" w:themeColor="text1"/>
          <w:sz w:val="32"/>
          <w:szCs w:val="32"/>
          <w:shd w:val="clear" w:color="auto" w:fill="FFFFFF"/>
          <w14:textFill>
            <w14:solidFill>
              <w14:schemeClr w14:val="tx1"/>
            </w14:solidFill>
          </w14:textFill>
        </w:rPr>
        <w:t>加大对产业集群、基础设施、民生事业的金融支持，通过银团贷款、联合贷款、项目贷款、资产证券化等多种融资工具，提供差异化特色产品与服务，助力做大业务规模、做优资产质量。</w:t>
      </w:r>
      <w:r>
        <w:rPr>
          <w:rFonts w:hint="eastAsia" w:ascii="黑体" w:hAnsi="黑体" w:eastAsia="黑体" w:cs="黑体"/>
          <w:color w:val="000000" w:themeColor="text1"/>
          <w:spacing w:val="-4"/>
          <w:sz w:val="32"/>
          <w:szCs w:val="32"/>
          <w14:textFill>
            <w14:solidFill>
              <w14:schemeClr w14:val="tx1"/>
            </w14:solidFill>
          </w14:textFill>
        </w:rPr>
        <w:t>三是</w:t>
      </w:r>
      <w:r>
        <w:rPr>
          <w:rFonts w:hint="eastAsia" w:hAnsi="仿宋_GB2312" w:eastAsia="仿宋_GB2312" w:cs="仿宋_GB2312"/>
          <w:color w:val="000000" w:themeColor="text1"/>
          <w:sz w:val="32"/>
          <w:szCs w:val="32"/>
          <w:shd w:val="clear" w:color="auto" w:fill="FFFFFF"/>
          <w14:textFill>
            <w14:solidFill>
              <w14:schemeClr w14:val="tx1"/>
            </w14:solidFill>
          </w14:textFill>
        </w:rPr>
        <w:t>加强政银企合作，搭建政银企对接平台，完善银企、银政、银银之间的会商制度，实现信息互通共享，持续深化支柱产业和战略性新兴产业的战略合作，实现银企互赢。</w:t>
      </w:r>
    </w:p>
    <w:p>
      <w:pPr>
        <w:pStyle w:val="2"/>
        <w:adjustRightInd w:val="0"/>
        <w:snapToGrid w:val="0"/>
        <w:spacing w:after="0" w:line="360" w:lineRule="auto"/>
        <w:ind w:firstLine="645"/>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pacing w:val="-4"/>
          <w:sz w:val="32"/>
          <w:szCs w:val="32"/>
          <w14:textFill>
            <w14:solidFill>
              <w14:schemeClr w14:val="tx1"/>
            </w14:solidFill>
          </w14:textFill>
        </w:rPr>
        <w:t>2、发展壮大地方法人银行机构。一是</w:t>
      </w:r>
      <w:r>
        <w:rPr>
          <w:rFonts w:hint="eastAsia" w:hAnsi="仿宋_GB2312" w:eastAsia="仿宋_GB2312" w:cs="仿宋_GB2312"/>
          <w:color w:val="000000" w:themeColor="text1"/>
          <w:sz w:val="32"/>
          <w:szCs w:val="32"/>
          <w:shd w:val="clear" w:color="auto" w:fill="FFFFFF"/>
          <w14:textFill>
            <w14:solidFill>
              <w14:schemeClr w14:val="tx1"/>
            </w14:solidFill>
          </w14:textFill>
        </w:rPr>
        <w:t>支持永嘉农村商业银行做大做强。以打造敏捷银行为目标，建立政府数据共享机制，加速大数据、人工智能等新技术运用于乡村振兴、民生工程。积极推进社区化战略布局，支持物理营业网点合并与改造，增强金融渗透村居、社区的能力，加快打造社区“零售银行”。扩大“三农”产业链服务外延，构建具有本土优势的特色区域生态圈，提升县域公共服务、社会治理等数字化、智能化水平。</w:t>
      </w:r>
      <w:r>
        <w:rPr>
          <w:rFonts w:hint="eastAsia" w:ascii="黑体" w:hAnsi="黑体" w:eastAsia="黑体" w:cs="黑体"/>
          <w:color w:val="000000" w:themeColor="text1"/>
          <w:sz w:val="32"/>
          <w:szCs w:val="32"/>
          <w:shd w:val="clear" w:color="auto" w:fill="FFFFFF"/>
          <w14:textFill>
            <w14:solidFill>
              <w14:schemeClr w14:val="tx1"/>
            </w14:solidFill>
          </w14:textFill>
        </w:rPr>
        <w:t>二是</w:t>
      </w:r>
      <w:r>
        <w:rPr>
          <w:rFonts w:hint="eastAsia" w:hAnsi="仿宋_GB2312" w:eastAsia="仿宋_GB2312" w:cs="仿宋_GB2312"/>
          <w:color w:val="000000" w:themeColor="text1"/>
          <w:sz w:val="32"/>
          <w:szCs w:val="32"/>
          <w:shd w:val="clear" w:color="auto" w:fill="FFFFFF"/>
          <w14:textFill>
            <w14:solidFill>
              <w14:schemeClr w14:val="tx1"/>
            </w14:solidFill>
          </w14:textFill>
        </w:rPr>
        <w:t>支持村镇银行做专做优。</w:t>
      </w:r>
      <w:r>
        <w:rPr>
          <w:rFonts w:hint="eastAsia" w:hAnsi="Times New Roman" w:eastAsia="仿宋_GB2312"/>
          <w:spacing w:val="-4"/>
          <w:sz w:val="32"/>
          <w:szCs w:val="32"/>
        </w:rPr>
        <w:t>拓展资本补充渠道，支持主发起行增资扩股补充资本，引导各类金融机构和非金融企业积极参与村镇银行改革。</w:t>
      </w:r>
      <w:r>
        <w:rPr>
          <w:rFonts w:hint="eastAsia" w:hAnsi="仿宋_GB2312" w:eastAsia="仿宋_GB2312" w:cs="仿宋_GB2312"/>
          <w:color w:val="000000" w:themeColor="text1"/>
          <w:sz w:val="32"/>
          <w:szCs w:val="32"/>
          <w:shd w:val="clear" w:color="auto" w:fill="FFFFFF"/>
          <w14:textFill>
            <w14:solidFill>
              <w14:schemeClr w14:val="tx1"/>
            </w14:solidFill>
          </w14:textFill>
        </w:rPr>
        <w:t>加强支农支小能力，</w:t>
      </w:r>
      <w:r>
        <w:rPr>
          <w:rFonts w:hint="eastAsia" w:hAnsi="Times New Roman" w:eastAsia="仿宋_GB2312"/>
          <w:spacing w:val="-4"/>
          <w:sz w:val="32"/>
          <w:szCs w:val="32"/>
        </w:rPr>
        <w:t>用好支农支小再贷款等政策工具，</w:t>
      </w:r>
      <w:r>
        <w:rPr>
          <w:rFonts w:hint="eastAsia" w:hAnsi="仿宋_GB2312" w:eastAsia="仿宋_GB2312" w:cs="仿宋_GB2312"/>
          <w:color w:val="000000" w:themeColor="text1"/>
          <w:sz w:val="32"/>
          <w:szCs w:val="32"/>
          <w:shd w:val="clear" w:color="auto" w:fill="FFFFFF"/>
          <w14:textFill>
            <w14:solidFill>
              <w14:schemeClr w14:val="tx1"/>
            </w14:solidFill>
          </w14:textFill>
        </w:rPr>
        <w:t>推出灵活多样定制化特色化产品服务，切实提升竞争力创新力。</w:t>
      </w:r>
    </w:p>
    <w:p>
      <w:pPr>
        <w:pStyle w:val="2"/>
        <w:adjustRightInd w:val="0"/>
        <w:snapToGrid w:val="0"/>
        <w:spacing w:after="0" w:line="360" w:lineRule="auto"/>
        <w:ind w:firstLine="645"/>
        <w:rPr>
          <w:rFonts w:hAnsi="仿宋_GB2312" w:eastAsia="仿宋_GB2312" w:cs="仿宋_GB2312"/>
          <w:sz w:val="32"/>
          <w:szCs w:val="32"/>
        </w:rPr>
      </w:pPr>
      <w:r>
        <w:rPr>
          <w:rFonts w:hint="eastAsia" w:ascii="黑体" w:hAnsi="黑体" w:eastAsia="黑体" w:cs="黑体"/>
          <w:sz w:val="32"/>
          <w:szCs w:val="32"/>
        </w:rPr>
        <w:t>3、推动商业银行专业化特色化发展。</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hAnsi="仿宋_GB2312" w:eastAsia="仿宋_GB2312" w:cs="仿宋_GB2312"/>
          <w:color w:val="000000" w:themeColor="text1"/>
          <w:sz w:val="32"/>
          <w:szCs w:val="32"/>
          <w:shd w:val="clear" w:color="auto" w:fill="FFFFFF"/>
          <w14:textFill>
            <w14:solidFill>
              <w14:schemeClr w14:val="tx1"/>
            </w14:solidFill>
          </w14:textFill>
        </w:rPr>
        <w:t>鼓励设立科技专营银行、小微专营银行，探索建立简化优化信用评估、授信审批流程，推动开展信用贷款、无还本续贷、并购贷款等业务。</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hAnsi="仿宋_GB2312" w:eastAsia="仿宋_GB2312" w:cs="仿宋_GB2312"/>
          <w:sz w:val="32"/>
          <w:szCs w:val="32"/>
        </w:rPr>
        <w:t>依托总行技术优势，推动开展信贷模式创新、流程创新和产品创新，大力发展知识产权、动产等抵质押模式和供应链金融，不断丰富惠普金融产品体系，打开信贷资源流向技术创新、品牌运营和市场开拓等领域的通道。</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hAnsi="仿宋_GB2312" w:eastAsia="仿宋_GB2312" w:cs="仿宋_GB2312"/>
          <w:sz w:val="32"/>
          <w:szCs w:val="32"/>
        </w:rPr>
        <w:t>注重金融科技与合规科技协同发展，积累和沉淀数字化金融风险管理技术，推动风险管理手段和工具数字化升级。</w:t>
      </w:r>
    </w:p>
    <w:p>
      <w:pPr>
        <w:pStyle w:val="2"/>
        <w:adjustRightInd w:val="0"/>
        <w:snapToGrid w:val="0"/>
        <w:spacing w:after="0" w:line="360" w:lineRule="auto"/>
        <w:ind w:firstLine="643" w:firstLineChars="200"/>
        <w:rPr>
          <w:rFonts w:ascii="黑体" w:hAnsi="黑体" w:eastAsia="黑体" w:cs="黑体"/>
          <w:b/>
          <w:bCs/>
          <w:sz w:val="32"/>
          <w:szCs w:val="40"/>
        </w:rPr>
      </w:pPr>
      <w:bookmarkStart w:id="12" w:name="_Toc63166571"/>
      <w:r>
        <w:rPr>
          <w:rFonts w:hint="eastAsia" w:ascii="黑体" w:hAnsi="黑体" w:eastAsia="黑体" w:cs="黑体"/>
          <w:b/>
          <w:bCs/>
          <w:sz w:val="32"/>
          <w:szCs w:val="40"/>
        </w:rPr>
        <w:t>（三）支持保险业机构发挥积极作用</w:t>
      </w:r>
      <w:bookmarkEnd w:id="12"/>
    </w:p>
    <w:p>
      <w:pPr>
        <w:pStyle w:val="5"/>
        <w:adjustRightInd w:val="0"/>
        <w:snapToGrid w:val="0"/>
        <w:spacing w:before="0" w:after="0" w:line="360" w:lineRule="auto"/>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 xml:space="preserve">加强保险业对实体经济的服务功能，特别是护航平安发展的作用，为群众平安、社会稳定、经济发展提供丰富保险服务。 </w:t>
      </w:r>
    </w:p>
    <w:p>
      <w:pPr>
        <w:pStyle w:val="2"/>
        <w:adjustRightInd w:val="0"/>
        <w:snapToGrid w:val="0"/>
        <w:spacing w:after="0" w:line="360" w:lineRule="auto"/>
        <w:ind w:firstLine="624" w:firstLineChars="200"/>
        <w:rPr>
          <w:rFonts w:hAnsi="仿宋_GB2312" w:eastAsia="仿宋_GB2312" w:cs="仿宋_GB2312"/>
          <w:sz w:val="32"/>
          <w:szCs w:val="32"/>
        </w:rPr>
      </w:pPr>
      <w:r>
        <w:rPr>
          <w:rFonts w:hint="eastAsia" w:ascii="黑体" w:hAnsi="黑体" w:eastAsia="黑体" w:cs="黑体"/>
          <w:spacing w:val="-4"/>
          <w:sz w:val="32"/>
          <w:szCs w:val="32"/>
        </w:rPr>
        <w:t>1、培育发展永嘉保险市场。</w:t>
      </w:r>
      <w:r>
        <w:rPr>
          <w:rFonts w:hint="eastAsia" w:hAnsi="仿宋_GB2312" w:eastAsia="仿宋_GB2312" w:cs="仿宋_GB2312"/>
          <w:sz w:val="32"/>
          <w:szCs w:val="32"/>
        </w:rPr>
        <w:t>着力丰富保险市场主体类型与数量，支持符合条件的保险公司在永嘉设立专业化特色化分支机构，深化“放管服”改革，探索建立巨灾保险制度，推行投标保证保险电子保函，运用“科技+服务+保险+贷款融资”手段助力小微企业安全生产经营、推行“全民商业补充医疗保险”着力化解“因病致贫返贫”问题，形成主体多元、充满活力的保险市场体系。</w:t>
      </w:r>
    </w:p>
    <w:p>
      <w:pPr>
        <w:pStyle w:val="2"/>
        <w:adjustRightInd w:val="0"/>
        <w:snapToGrid w:val="0"/>
        <w:spacing w:after="0" w:line="360" w:lineRule="auto"/>
        <w:ind w:firstLine="645"/>
        <w:rPr>
          <w:rFonts w:hAnsi="仿宋_GB2312" w:eastAsia="仿宋_GB2312" w:cs="仿宋_GB2312"/>
          <w:sz w:val="32"/>
          <w:szCs w:val="32"/>
        </w:rPr>
      </w:pPr>
      <w:r>
        <w:rPr>
          <w:rFonts w:hint="eastAsia" w:ascii="黑体" w:hAnsi="黑体" w:eastAsia="黑体" w:cs="黑体"/>
          <w:spacing w:val="-4"/>
          <w:sz w:val="32"/>
          <w:szCs w:val="32"/>
        </w:rPr>
        <w:t>2、加强保险科技创新应用。</w:t>
      </w:r>
      <w:r>
        <w:rPr>
          <w:rFonts w:hint="eastAsia" w:hAnsi="仿宋_GB2312" w:eastAsia="仿宋_GB2312" w:cs="仿宋_GB2312"/>
          <w:sz w:val="32"/>
          <w:szCs w:val="32"/>
        </w:rPr>
        <w:t>推动科技与保险的深度融合，将科技创新成果应用于保险生态圈建设，从销售、理赔、服务实现全链条的数字化和现场化，推动保险业务的提质增效。</w:t>
      </w:r>
    </w:p>
    <w:p>
      <w:pPr>
        <w:pStyle w:val="2"/>
        <w:adjustRightInd w:val="0"/>
        <w:snapToGrid w:val="0"/>
        <w:spacing w:after="0" w:line="360" w:lineRule="auto"/>
        <w:ind w:firstLine="645"/>
        <w:rPr>
          <w:rFonts w:hAnsi="仿宋_GB2312" w:eastAsia="仿宋_GB2312" w:cs="仿宋_GB2312"/>
          <w:sz w:val="32"/>
          <w:szCs w:val="32"/>
        </w:rPr>
      </w:pPr>
      <w:r>
        <w:rPr>
          <w:rFonts w:hint="eastAsia" w:ascii="黑体" w:hAnsi="黑体" w:eastAsia="黑体" w:cs="黑体"/>
          <w:spacing w:val="-4"/>
          <w:sz w:val="32"/>
          <w:szCs w:val="32"/>
        </w:rPr>
        <w:t>3、引导保险服务实体经济。</w:t>
      </w:r>
      <w:r>
        <w:rPr>
          <w:rFonts w:hint="eastAsia" w:hAnsi="仿宋_GB2312" w:eastAsia="仿宋_GB2312" w:cs="仿宋_GB2312"/>
          <w:sz w:val="32"/>
          <w:szCs w:val="32"/>
        </w:rPr>
        <w:t>鼓励保险机构投资基础设施、公共服务等领域，积极探索引入保险机构参与社会治理创新。开展与服务社会民生息息相关的保险产品创新，创新推广农户小额保证保险、农村小额意外伤害险、农业政策保险等产品，提高保险服务经济社会发展覆盖面和渗透率。持续深化银保合作,发挥保险融资增信功能，扩大信用保险覆盖面，支持为符合条件的民营中小微企业办理信用保证保险业务，引导银行业金融机构对相关企业给予贷款优惠政策。</w:t>
      </w:r>
    </w:p>
    <w:p>
      <w:pPr>
        <w:pStyle w:val="5"/>
        <w:spacing w:before="0" w:line="360" w:lineRule="auto"/>
        <w:ind w:firstLine="643" w:firstLineChars="200"/>
        <w:rPr>
          <w:rFonts w:ascii="黑体" w:hAnsi="黑体" w:eastAsia="黑体"/>
        </w:rPr>
      </w:pPr>
      <w:bookmarkStart w:id="13" w:name="_Toc63166572"/>
      <w:r>
        <w:rPr>
          <w:rFonts w:hint="eastAsia" w:ascii="黑体" w:hAnsi="黑体" w:eastAsia="黑体"/>
        </w:rPr>
        <w:t>（四）推动地方金融组织及其他金融机构健康发展</w:t>
      </w:r>
      <w:bookmarkEnd w:id="13"/>
    </w:p>
    <w:p>
      <w:pPr>
        <w:pStyle w:val="2"/>
        <w:adjustRightInd w:val="0"/>
        <w:snapToGrid w:val="0"/>
        <w:spacing w:after="0" w:line="360" w:lineRule="auto"/>
        <w:ind w:firstLine="645"/>
        <w:rPr>
          <w:rFonts w:hAnsi="仿宋_GB2312" w:eastAsia="仿宋_GB2312" w:cs="仿宋_GB2312"/>
          <w:sz w:val="32"/>
          <w:szCs w:val="32"/>
        </w:rPr>
      </w:pPr>
      <w:r>
        <w:rPr>
          <w:rFonts w:hint="eastAsia" w:hAnsi="仿宋_GB2312" w:eastAsia="仿宋_GB2312" w:cs="仿宋_GB2312"/>
          <w:sz w:val="32"/>
          <w:szCs w:val="32"/>
        </w:rPr>
        <w:t>督促推动各类地方金融组织坚守主业、合规经营、健康发展，成为金融服务实体经济的有效补充。</w:t>
      </w:r>
    </w:p>
    <w:p>
      <w:pPr>
        <w:spacing w:line="360" w:lineRule="auto"/>
        <w:ind w:firstLine="640" w:firstLineChars="200"/>
        <w:rPr>
          <w:rFonts w:hAnsi="仿宋_GB2312" w:eastAsia="仿宋_GB2312" w:cs="仿宋_GB2312"/>
          <w:sz w:val="32"/>
          <w:szCs w:val="32"/>
        </w:rPr>
      </w:pPr>
      <w:r>
        <w:rPr>
          <w:rFonts w:hint="eastAsia" w:ascii="黑体" w:hAnsi="黑体" w:eastAsia="黑体" w:cs="黑体"/>
          <w:sz w:val="32"/>
          <w:szCs w:val="32"/>
        </w:rPr>
        <w:t>1、推动小额贷款公司稳健发展。</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hAnsi="仿宋_GB2312" w:eastAsia="仿宋_GB2312" w:cs="仿宋_GB2312"/>
          <w:sz w:val="32"/>
          <w:szCs w:val="32"/>
        </w:rPr>
        <w:t>完善治理机制，严格执行政策监管要求，促进小额贷款公司优化股权结构，落实内部风险控制处置流程，坚决避免违规操作，确保在政</w:t>
      </w:r>
      <w:r>
        <w:rPr>
          <w:rFonts w:hint="eastAsia" w:ascii="仿宋" w:hAnsi="仿宋" w:eastAsia="仿宋" w:cs="仿宋"/>
          <w:sz w:val="32"/>
          <w:szCs w:val="32"/>
        </w:rPr>
        <w:t>策框架内开展业务、健康发展。</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hAnsi="仿宋_GB2312" w:eastAsia="仿宋_GB2312" w:cs="仿宋_GB2312"/>
          <w:sz w:val="32"/>
          <w:szCs w:val="32"/>
        </w:rPr>
        <w:t>推动运营创新，坚持“小额、分散”原则，聚焦“三农”和小微企业的细分市场，精准挖掘、评估、维护目标客户，减少运营成本，提升盈利水平。</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hAnsi="仿宋_GB2312" w:eastAsia="仿宋_GB2312" w:cs="仿宋_GB2312"/>
          <w:sz w:val="32"/>
          <w:szCs w:val="32"/>
        </w:rPr>
        <w:t>完善相关政策，推进财税优惠政策的扶持促进作用，改善小额贷款公司可持续经营的政策环境。</w:t>
      </w:r>
    </w:p>
    <w:p>
      <w:pPr>
        <w:spacing w:line="360" w:lineRule="auto"/>
        <w:ind w:firstLine="640" w:firstLineChars="200"/>
        <w:rPr>
          <w:rFonts w:hAnsi="仿宋_GB2312" w:eastAsia="仿宋_GB2312" w:cs="仿宋_GB2312"/>
          <w:sz w:val="32"/>
          <w:szCs w:val="32"/>
        </w:rPr>
      </w:pPr>
      <w:r>
        <w:rPr>
          <w:rFonts w:hint="eastAsia" w:ascii="黑体" w:hAnsi="黑体" w:eastAsia="黑体" w:cs="黑体"/>
          <w:sz w:val="32"/>
          <w:szCs w:val="32"/>
        </w:rPr>
        <w:t>2、推动农村资金互助会规范发展。</w:t>
      </w:r>
      <w:r>
        <w:rPr>
          <w:rFonts w:hint="eastAsia" w:hAnsi="仿宋_GB2312" w:eastAsia="仿宋_GB2312" w:cs="仿宋_GB2312"/>
          <w:sz w:val="32"/>
          <w:szCs w:val="32"/>
        </w:rPr>
        <w:t>推动各类机构立足初衷、强化功能、规范发展。加强农村资金互助会业务监督指导，深化“三位一体”建设，以信用合作破解农户、专业合作社、家庭农场资金融通问题。</w:t>
      </w:r>
    </w:p>
    <w:p>
      <w:pPr>
        <w:spacing w:line="360" w:lineRule="auto"/>
        <w:ind w:firstLine="624" w:firstLineChars="200"/>
        <w:rPr>
          <w:rFonts w:hAnsi="仿宋_GB2312" w:eastAsia="仿宋_GB2312" w:cs="仿宋_GB2312"/>
          <w:sz w:val="32"/>
          <w:szCs w:val="32"/>
        </w:rPr>
      </w:pPr>
      <w:r>
        <w:rPr>
          <w:rFonts w:hint="eastAsia" w:ascii="黑体" w:hAnsi="黑体" w:eastAsia="黑体" w:cs="黑体"/>
          <w:spacing w:val="-4"/>
          <w:sz w:val="32"/>
          <w:szCs w:val="32"/>
        </w:rPr>
        <w:t>3、推动其他新型金融业态丰富发展。</w:t>
      </w:r>
      <w:r>
        <w:rPr>
          <w:rFonts w:hint="eastAsia" w:hAnsi="仿宋_GB2312" w:eastAsia="仿宋_GB2312" w:cs="仿宋_GB2312"/>
          <w:sz w:val="32"/>
          <w:szCs w:val="32"/>
        </w:rPr>
        <w:t>推进三江金融商务集聚区建设，积极培育创投、基金投资、资产管理公司、融资租赁等各类新兴金融组织，吸引全国性金融机构分支在永设立管理中心或功能中心，全力做大做强金融产业，为实体经济发展提供更大的金融支撑。</w:t>
      </w:r>
    </w:p>
    <w:p>
      <w:pPr>
        <w:pStyle w:val="4"/>
        <w:spacing w:before="0" w:beforeAutospacing="0" w:after="0" w:afterAutospacing="0"/>
        <w:ind w:firstLine="643" w:firstLineChars="200"/>
        <w:rPr>
          <w:rFonts w:ascii="黑体" w:hAnsi="黑体" w:eastAsia="黑体"/>
          <w:sz w:val="32"/>
          <w:szCs w:val="32"/>
        </w:rPr>
      </w:pPr>
      <w:bookmarkStart w:id="14" w:name="_Toc63166573"/>
      <w:r>
        <w:rPr>
          <w:rFonts w:hint="eastAsia" w:ascii="黑体" w:hAnsi="黑体" w:eastAsia="黑体"/>
          <w:sz w:val="32"/>
          <w:szCs w:val="32"/>
        </w:rPr>
        <w:t>四、坚持改革引领，着力健全金融改革推进体系</w:t>
      </w:r>
      <w:bookmarkEnd w:id="14"/>
    </w:p>
    <w:p>
      <w:pPr>
        <w:spacing w:line="360" w:lineRule="auto"/>
        <w:ind w:firstLine="640" w:firstLineChars="200"/>
        <w:rPr>
          <w:rFonts w:hAnsi="仿宋_GB2312" w:eastAsia="仿宋_GB2312" w:cs="仿宋_GB2312"/>
          <w:sz w:val="32"/>
          <w:szCs w:val="32"/>
        </w:rPr>
      </w:pPr>
      <w:r>
        <w:rPr>
          <w:rFonts w:hint="eastAsia" w:hAnsi="仿宋_GB2312" w:eastAsia="仿宋_GB2312" w:cs="仿宋_GB2312"/>
          <w:sz w:val="32"/>
          <w:szCs w:val="32"/>
        </w:rPr>
        <w:t>深入推进金融供给侧结构性改革，抓紧抓实牵动性、引领性改革项目，为金融业发展注入新动能，提升金融业服务实体经济的能力和水平。</w:t>
      </w:r>
    </w:p>
    <w:p>
      <w:pPr>
        <w:pStyle w:val="5"/>
        <w:spacing w:before="0" w:after="0"/>
        <w:ind w:firstLine="643" w:firstLineChars="200"/>
        <w:rPr>
          <w:rFonts w:ascii="黑体" w:hAnsi="黑体" w:eastAsia="黑体"/>
        </w:rPr>
      </w:pPr>
      <w:bookmarkStart w:id="15" w:name="_Toc63166574"/>
      <w:r>
        <w:rPr>
          <w:rFonts w:hint="eastAsia" w:ascii="黑体" w:hAnsi="黑体" w:eastAsia="黑体"/>
        </w:rPr>
        <w:t>（一）实施农村金融工程</w:t>
      </w:r>
      <w:bookmarkEnd w:id="15"/>
    </w:p>
    <w:p>
      <w:pPr>
        <w:rPr>
          <w:rFonts w:hAnsi="仿宋_GB2312" w:eastAsia="仿宋_GB2312" w:cs="仿宋_GB2312"/>
          <w:sz w:val="32"/>
          <w:szCs w:val="32"/>
        </w:rPr>
      </w:pPr>
      <w:r>
        <w:rPr>
          <w:rFonts w:hint="eastAsia" w:eastAsia="仿宋_GB2312"/>
        </w:rPr>
        <w:t xml:space="preserve">      </w:t>
      </w:r>
      <w:r>
        <w:rPr>
          <w:rFonts w:hint="eastAsia" w:hAnsi="仿宋_GB2312" w:eastAsia="仿宋_GB2312" w:cs="仿宋_GB2312"/>
          <w:sz w:val="32"/>
          <w:szCs w:val="32"/>
        </w:rPr>
        <w:t>把农村金融综合改革与做好新发展阶段“三农”工作有机结合起来，与实施乡村振兴战略有机衔接起来，引导回流高端要素、激活赋能优势资源，为加快促进农业高质高效、乡村宜居宜业、农民富裕富足提供有力金融支撑。</w:t>
      </w:r>
    </w:p>
    <w:p>
      <w:pPr>
        <w:ind w:firstLine="640" w:firstLineChars="200"/>
        <w:rPr>
          <w:rFonts w:ascii="楷体" w:hAnsi="楷体" w:eastAsia="楷体"/>
          <w:b/>
          <w:sz w:val="32"/>
          <w:szCs w:val="32"/>
        </w:rPr>
      </w:pPr>
      <w:r>
        <w:rPr>
          <w:rFonts w:hint="eastAsia" w:ascii="黑体" w:hAnsi="黑体" w:eastAsia="黑体"/>
          <w:sz w:val="32"/>
          <w:szCs w:val="32"/>
        </w:rPr>
        <w:t>1、金融赋能农民产权。</w:t>
      </w:r>
      <w:r>
        <w:rPr>
          <w:rFonts w:hint="eastAsia" w:eastAsia="仿宋_GB2312"/>
          <w:sz w:val="32"/>
          <w:szCs w:val="32"/>
        </w:rPr>
        <w:t>深化农村产权制度改革，拓展农民的产权价值，推动农户增信、资产增值、普惠增效。</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hAnsi="仿宋_GB2312" w:eastAsia="仿宋_GB2312" w:cs="仿宋_GB2312"/>
          <w:sz w:val="32"/>
          <w:szCs w:val="32"/>
        </w:rPr>
        <w:t>稳慎推进农村宅基地所有权、资格权、使用权“三权分置”改革，明确宅基地市场评估、托管登记、监督管理等政策流程，在上塘、瓯北等城区和桥头、桥下、黄田、三江乌牛等沿江中心镇，鼓励银行机构开展宅基地托管授信</w:t>
      </w:r>
      <w:r>
        <w:rPr>
          <w:rFonts w:hint="eastAsia" w:eastAsia="仿宋_GB2312"/>
          <w:sz w:val="32"/>
          <w:szCs w:val="32"/>
        </w:rPr>
        <w:t>业务。</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积极推动农村集体经济组织股份改革，规范农户股权登记、流转、质押等政策措施，赋予股权融资属性。</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推动农民增信制度改革，依托信用镇、信用村、信用户有机贯通的农村信用体系，以新技术、新理念创新信用评价模式，优化贷款办理流程，引导金融机构加大对返乡农民工、下山安置户、低收入农户等群体就业创业的金融支持力度。</w:t>
      </w:r>
    </w:p>
    <w:p>
      <w:pPr>
        <w:ind w:firstLine="640" w:firstLineChars="200"/>
        <w:rPr>
          <w:rFonts w:eastAsia="仿宋_GB2312"/>
          <w:sz w:val="32"/>
          <w:szCs w:val="32"/>
        </w:rPr>
      </w:pPr>
      <w:r>
        <w:rPr>
          <w:rFonts w:hint="eastAsia" w:ascii="黑体" w:hAnsi="黑体" w:eastAsia="黑体"/>
          <w:sz w:val="32"/>
          <w:szCs w:val="32"/>
        </w:rPr>
        <w:t>2、金融赋能乡村建设。</w:t>
      </w:r>
      <w:r>
        <w:rPr>
          <w:rFonts w:hint="eastAsia" w:eastAsia="仿宋_GB2312"/>
          <w:sz w:val="32"/>
          <w:szCs w:val="32"/>
        </w:rPr>
        <w:t>构建金融机构与乡村建设项目对接机制，推动金融资源向乡村补短板、优环境、增动能领域倾斜。</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eastAsia="仿宋_GB2312"/>
          <w:sz w:val="32"/>
          <w:szCs w:val="32"/>
        </w:rPr>
        <w:t>创新宜居宜业环境建设金融服务模式。配合乡镇政府实施乡村建设行动，加强“四好农村路”、环境整治、农村厕所改造、生活垃圾分类处理等领域和绿色信贷支持，助推水电网路传统设施</w:t>
      </w:r>
      <w:r>
        <w:rPr>
          <w:rFonts w:hint="eastAsia" w:eastAsia="仿宋_GB2312"/>
          <w:sz w:val="32"/>
          <w:szCs w:val="32"/>
          <w:lang w:eastAsia="zh-CN"/>
        </w:rPr>
        <w:t>，</w:t>
      </w:r>
      <w:r>
        <w:rPr>
          <w:rFonts w:hint="eastAsia" w:eastAsia="仿宋_GB2312"/>
          <w:sz w:val="32"/>
          <w:szCs w:val="32"/>
        </w:rPr>
        <w:t>5G基站、新能源汽车充电桩等智能设施和康养、教育等公共服务设施建设。</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创新“明珠”项目金融服务模式。按照美丽乡村规划布局，支持金融机构量身定制支持景区村、历史文化村、数字乡村发展的金融服务，助力串珠成链、连线成景，打造金融服务精品村、景区村建设的新样板。</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创新集体经济金融服务模式。支持集体建设用地以出让、租赁、入股等方式流转，加强集体建设用地开发利用和农村产业发展的金融支持，巩固提升集体经济薄弱村发展。</w:t>
      </w:r>
    </w:p>
    <w:p>
      <w:pPr>
        <w:ind w:firstLine="640" w:firstLineChars="200"/>
        <w:rPr>
          <w:rFonts w:ascii="楷体" w:hAnsi="楷体" w:eastAsia="楷体"/>
          <w:b/>
          <w:sz w:val="32"/>
          <w:szCs w:val="32"/>
        </w:rPr>
      </w:pPr>
      <w:r>
        <w:rPr>
          <w:rFonts w:hint="eastAsia" w:ascii="黑体" w:hAnsi="黑体" w:eastAsia="黑体"/>
          <w:sz w:val="32"/>
          <w:szCs w:val="32"/>
        </w:rPr>
        <w:t>3、金融赋能乡村产业。</w:t>
      </w:r>
      <w:r>
        <w:rPr>
          <w:rFonts w:hint="eastAsia" w:eastAsia="仿宋_GB2312"/>
          <w:sz w:val="32"/>
          <w:szCs w:val="32"/>
        </w:rPr>
        <w:t>联动推动金融和农业供给侧结构性改革，加强乡村产业高质高效发展的金融支持力度。</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eastAsia="仿宋_GB2312"/>
          <w:sz w:val="32"/>
          <w:szCs w:val="32"/>
        </w:rPr>
        <w:t>加强生态高效农业金融支持。提高新型农业经营主体和低收入农户的融资可得性，鼓励金融机构为家庭农场、专业合作社、现代农业企业等农业经营组织量身定制融资方案，创新农村土地承包经营权金融支持模式，积极探索大型农机具、养殖圈舍和活体畜禽抵押、农业保单融资等创新产品，推动土地适度规模经营、现代管理经营。</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加强产业融合发展金融支持。拓展增信渠道、授信方式，加大对特色种养业、农产品加工业、休闲农业、乡村旅游、农村电商、农村物流、农村快递和农村康养等产业发展的支持力度。</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加强“两进两回”行动金融支持。探索创新“两进两回”金融项目，依托“星创天地”、现代农业园等平台，为返乡青年、青年企业家、乡贤投身乡村产业发展提供个性化多样化金融产品服务。</w:t>
      </w:r>
    </w:p>
    <w:p>
      <w:pPr>
        <w:pStyle w:val="5"/>
        <w:spacing w:before="0" w:after="0"/>
        <w:ind w:firstLine="643" w:firstLineChars="200"/>
        <w:rPr>
          <w:rFonts w:ascii="黑体" w:hAnsi="黑体" w:eastAsia="黑体"/>
        </w:rPr>
      </w:pPr>
      <w:bookmarkStart w:id="16" w:name="_Toc63166575"/>
      <w:r>
        <w:rPr>
          <w:rFonts w:hint="eastAsia" w:ascii="黑体" w:hAnsi="黑体" w:eastAsia="黑体"/>
        </w:rPr>
        <w:t>（二）实施小微金融工程</w:t>
      </w:r>
      <w:bookmarkEnd w:id="16"/>
    </w:p>
    <w:p>
      <w:pPr>
        <w:ind w:firstLine="640" w:firstLineChars="200"/>
        <w:rPr>
          <w:rFonts w:eastAsia="仿宋_GB2312"/>
          <w:sz w:val="32"/>
          <w:szCs w:val="32"/>
        </w:rPr>
      </w:pPr>
      <w:r>
        <w:rPr>
          <w:rFonts w:hint="eastAsia" w:eastAsia="仿宋_GB2312"/>
          <w:sz w:val="32"/>
          <w:szCs w:val="32"/>
        </w:rPr>
        <w:t>把民营企业、小微企业和个体工商户作为信贷增氧、金融滴灌的主要对象，创新金融新技术、新模式、新业态，不断提升金融服务覆盖面、获得感和满意度。</w:t>
      </w:r>
    </w:p>
    <w:p>
      <w:pPr>
        <w:ind w:firstLine="640" w:firstLineChars="200"/>
        <w:rPr>
          <w:rFonts w:eastAsia="仿宋_GB2312"/>
          <w:sz w:val="32"/>
          <w:szCs w:val="32"/>
        </w:rPr>
      </w:pPr>
      <w:r>
        <w:rPr>
          <w:rFonts w:hint="eastAsia" w:ascii="黑体" w:hAnsi="黑体" w:eastAsia="黑体"/>
          <w:sz w:val="32"/>
          <w:szCs w:val="32"/>
        </w:rPr>
        <w:t>1、扩大覆盖范围</w:t>
      </w:r>
      <w:r>
        <w:rPr>
          <w:rFonts w:hint="eastAsia" w:eastAsia="仿宋_GB2312"/>
          <w:sz w:val="32"/>
          <w:szCs w:val="32"/>
        </w:rPr>
        <w:t>。深入实施首贷户拓展行动，搭建首贷户拓展平台，完善首贷户拓展政策体系，加快“无贷户-首贷户-伙伴客户”体系化培育，量质并举促进信贷投入。</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eastAsia="仿宋_GB2312"/>
          <w:sz w:val="32"/>
          <w:szCs w:val="32"/>
        </w:rPr>
        <w:t>加强工作协同机制，完善小微企业风险补偿机制，给予适当贷款贴息、担保支持等优惠政策，给予金融机构信贷政策倾斜，实现风险在政府、银行、担保、企业间合理分担。</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积极对接省市金融服务综合平台，以数字赋能广泛挖掘支付类、政务类、财务类、商务类信息，创新推广“贷款码”“信易贷”等多跨场景金融便捷服务。</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创新金融产品精准对接机制，支持金融机构常态化走访联系企业，开发小微信贷产品，在授信方式、还款方式、贷款期限等方面满足多样化个性化多层次融资需求。</w:t>
      </w:r>
    </w:p>
    <w:p>
      <w:pPr>
        <w:ind w:firstLine="640" w:firstLineChars="200"/>
        <w:rPr>
          <w:rFonts w:eastAsia="仿宋_GB2312"/>
          <w:sz w:val="32"/>
          <w:szCs w:val="32"/>
        </w:rPr>
      </w:pPr>
      <w:r>
        <w:rPr>
          <w:rFonts w:hint="eastAsia" w:ascii="黑体" w:hAnsi="黑体" w:eastAsia="黑体"/>
          <w:sz w:val="32"/>
          <w:szCs w:val="32"/>
        </w:rPr>
        <w:t>2、优化信贷结构。</w:t>
      </w:r>
      <w:r>
        <w:rPr>
          <w:rFonts w:hint="eastAsia" w:eastAsia="仿宋_GB2312"/>
          <w:sz w:val="32"/>
          <w:szCs w:val="32"/>
        </w:rPr>
        <w:t>创新信贷服务产品，摆脱过度依赖抵押物的信贷模式，提高信用贷款、制造业贷款和中长期贷款比重。</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eastAsia="仿宋_GB2312"/>
          <w:sz w:val="32"/>
          <w:szCs w:val="32"/>
        </w:rPr>
        <w:t>优化信贷投向。推动小微专营机构建设，</w:t>
      </w:r>
      <w:r>
        <w:rPr>
          <w:rFonts w:eastAsia="仿宋_GB2312"/>
          <w:sz w:val="32"/>
          <w:szCs w:val="32"/>
        </w:rPr>
        <w:t>着力支持制造业、新兴行业等重点领域，以及民营、小微、外贸企业和</w:t>
      </w:r>
      <w:r>
        <w:rPr>
          <w:rFonts w:hint="eastAsia" w:eastAsia="仿宋_GB2312"/>
          <w:sz w:val="32"/>
          <w:szCs w:val="32"/>
        </w:rPr>
        <w:t>“</w:t>
      </w:r>
      <w:r>
        <w:rPr>
          <w:rFonts w:eastAsia="仿宋_GB2312"/>
          <w:sz w:val="32"/>
          <w:szCs w:val="32"/>
        </w:rPr>
        <w:t>三农</w:t>
      </w:r>
      <w:r>
        <w:rPr>
          <w:rFonts w:hint="eastAsia" w:eastAsia="仿宋_GB2312"/>
          <w:sz w:val="32"/>
          <w:szCs w:val="32"/>
        </w:rPr>
        <w:t>”</w:t>
      </w:r>
      <w:r>
        <w:rPr>
          <w:rFonts w:eastAsia="仿宋_GB2312"/>
          <w:sz w:val="32"/>
          <w:szCs w:val="32"/>
        </w:rPr>
        <w:t>等市场主体，稳步提高中长期贷款和信用贷款比重。</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扩大信贷规模。落实民营和小微企业授信尽职免责制度，从新兴产业、现代服务业、民营经济、“三农”发展等领域深入挖掘融资需求，确保与县域经济总量匹配的信贷总量规模。</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创新信贷方式。继续推动“账款贷”“小贷宝”、税银贷、小微园区项目贷、专利权、商标权质押贷款等小微金融产品的推广和应用；</w:t>
      </w:r>
      <w:r>
        <w:rPr>
          <w:rFonts w:hint="eastAsia" w:hAnsi="仿宋_GB2312" w:eastAsia="仿宋_GB2312" w:cs="仿宋_GB2312"/>
          <w:sz w:val="32"/>
          <w:szCs w:val="32"/>
        </w:rPr>
        <w:t>创新供应链金融服务模式，大幅增加企业信用贷。</w:t>
      </w:r>
    </w:p>
    <w:p>
      <w:pPr>
        <w:ind w:firstLine="640" w:firstLineChars="200"/>
        <w:jc w:val="left"/>
        <w:rPr>
          <w:rFonts w:eastAsia="仿宋_GB2312"/>
          <w:sz w:val="32"/>
          <w:szCs w:val="32"/>
        </w:rPr>
      </w:pPr>
      <w:r>
        <w:rPr>
          <w:rFonts w:hint="eastAsia" w:ascii="黑体" w:hAnsi="黑体" w:eastAsia="黑体"/>
          <w:sz w:val="32"/>
          <w:szCs w:val="32"/>
        </w:rPr>
        <w:t>3、降低融资成本</w:t>
      </w:r>
      <w:r>
        <w:rPr>
          <w:rFonts w:hint="eastAsia" w:eastAsia="仿宋_GB2312"/>
          <w:sz w:val="32"/>
          <w:szCs w:val="32"/>
        </w:rPr>
        <w:t>。打通中央金融政策特别是货币政策落地落细基层“最后一公里”，切实降低融资综合成本。</w:t>
      </w:r>
      <w:r>
        <w:rPr>
          <w:rFonts w:hint="eastAsia" w:ascii="黑体" w:hAnsi="黑体" w:eastAsia="黑体" w:cs="仿宋_GB2312"/>
          <w:color w:val="000000" w:themeColor="text1"/>
          <w:sz w:val="32"/>
          <w:szCs w:val="32"/>
          <w:shd w:val="clear" w:color="auto" w:fill="FFFFFF"/>
          <w14:textFill>
            <w14:solidFill>
              <w14:schemeClr w14:val="tx1"/>
            </w14:solidFill>
          </w14:textFill>
        </w:rPr>
        <w:t>一是</w:t>
      </w:r>
      <w:r>
        <w:rPr>
          <w:rFonts w:hint="eastAsia" w:eastAsia="仿宋_GB2312"/>
          <w:sz w:val="32"/>
          <w:szCs w:val="32"/>
        </w:rPr>
        <w:t>降低企业利息成本，建立民营企业融资成本管理长效机制，落实贷款市场报价利率（LPR）改革政策，稳步推进利率市场化下行，加大对创新能力强、发展前景好的科创型、高成长型企业贷款贴息力度。</w:t>
      </w:r>
      <w:r>
        <w:rPr>
          <w:rFonts w:hint="eastAsia" w:ascii="黑体" w:hAnsi="黑体" w:eastAsia="黑体" w:cs="仿宋_GB2312"/>
          <w:color w:val="000000" w:themeColor="text1"/>
          <w:sz w:val="32"/>
          <w:szCs w:val="32"/>
          <w:shd w:val="clear" w:color="auto" w:fill="FFFFFF"/>
          <w14:textFill>
            <w14:solidFill>
              <w14:schemeClr w14:val="tx1"/>
            </w14:solidFill>
          </w14:textFill>
        </w:rPr>
        <w:t>二是</w:t>
      </w:r>
      <w:r>
        <w:rPr>
          <w:rFonts w:hint="eastAsia" w:eastAsia="仿宋_GB2312"/>
          <w:sz w:val="32"/>
          <w:szCs w:val="32"/>
        </w:rPr>
        <w:t>降低企业资金周转成本，推动金融机构优化授信审批流程，推进“年审制”“分段式”“增信式”等无还本续贷模式创新，</w:t>
      </w:r>
      <w:r>
        <w:rPr>
          <w:rFonts w:hint="eastAsia" w:hAnsi="仿宋_GB2312" w:eastAsia="仿宋_GB2312" w:cs="仿宋_GB2312"/>
          <w:sz w:val="32"/>
          <w:szCs w:val="32"/>
        </w:rPr>
        <w:t>推广无缝续贷、循环贷等还款方式创新，解决续贷转贷难困境。</w:t>
      </w:r>
      <w:r>
        <w:rPr>
          <w:rFonts w:hint="eastAsia" w:ascii="黑体" w:hAnsi="黑体" w:eastAsia="黑体" w:cs="仿宋_GB2312"/>
          <w:color w:val="000000" w:themeColor="text1"/>
          <w:sz w:val="32"/>
          <w:szCs w:val="32"/>
          <w:shd w:val="clear" w:color="auto" w:fill="FFFFFF"/>
          <w14:textFill>
            <w14:solidFill>
              <w14:schemeClr w14:val="tx1"/>
            </w14:solidFill>
          </w14:textFill>
        </w:rPr>
        <w:t>三是</w:t>
      </w:r>
      <w:r>
        <w:rPr>
          <w:rFonts w:hint="eastAsia" w:eastAsia="仿宋_GB2312"/>
          <w:sz w:val="32"/>
          <w:szCs w:val="32"/>
        </w:rPr>
        <w:t>降低企业融资综合成本，持续推动金融机构减费让利，对民营和小微企业融资担保和保证保险费用、知识产权评估和债券融资相关中介费用等予以财政补助。</w:t>
      </w:r>
    </w:p>
    <w:p>
      <w:pPr>
        <w:pStyle w:val="5"/>
        <w:spacing w:before="0" w:after="0"/>
        <w:ind w:firstLine="643" w:firstLineChars="200"/>
        <w:rPr>
          <w:rFonts w:ascii="黑体" w:hAnsi="黑体" w:eastAsia="黑体"/>
        </w:rPr>
      </w:pPr>
      <w:bookmarkStart w:id="17" w:name="_Toc63166576"/>
      <w:r>
        <w:rPr>
          <w:rFonts w:hint="eastAsia" w:ascii="黑体" w:hAnsi="黑体" w:eastAsia="黑体"/>
        </w:rPr>
        <w:t>（三）实施文体旅金融工程</w:t>
      </w:r>
      <w:bookmarkEnd w:id="17"/>
    </w:p>
    <w:p>
      <w:pPr>
        <w:ind w:firstLine="640" w:firstLineChars="200"/>
        <w:rPr>
          <w:rFonts w:eastAsia="仿宋_GB2312"/>
          <w:sz w:val="32"/>
          <w:szCs w:val="32"/>
        </w:rPr>
      </w:pPr>
      <w:r>
        <w:rPr>
          <w:rFonts w:hint="eastAsia" w:eastAsia="仿宋_GB2312"/>
          <w:sz w:val="32"/>
          <w:szCs w:val="32"/>
        </w:rPr>
        <w:t>用好楠溪江文体旅战略性、历史性崛起的契机，推动金融机构深入践行“绿水青山就是金山银山”理念，创新推出更多绿色金融产品，引导金融活水流向“绿水青山”。</w:t>
      </w:r>
    </w:p>
    <w:p>
      <w:pPr>
        <w:ind w:firstLine="640" w:firstLineChars="200"/>
        <w:rPr>
          <w:rFonts w:eastAsia="仿宋_GB2312"/>
          <w:sz w:val="32"/>
          <w:szCs w:val="32"/>
        </w:rPr>
      </w:pPr>
      <w:r>
        <w:rPr>
          <w:rFonts w:hint="eastAsia" w:ascii="黑体" w:hAnsi="黑体" w:eastAsia="黑体"/>
          <w:sz w:val="32"/>
          <w:szCs w:val="32"/>
        </w:rPr>
        <w:t>1、创新开展民宿项目金融服务。</w:t>
      </w:r>
      <w:r>
        <w:rPr>
          <w:rFonts w:hint="eastAsia" w:eastAsia="仿宋_GB2312"/>
          <w:sz w:val="32"/>
          <w:szCs w:val="32"/>
        </w:rPr>
        <w:t>支持民宿作为提升金融服务文体旅产业高质量发展的切入点和着力点，加大力度探索民宿金融服务新模式。</w:t>
      </w:r>
      <w:r>
        <w:rPr>
          <w:rFonts w:hint="eastAsia" w:ascii="黑体" w:hAnsi="黑体" w:eastAsia="黑体"/>
          <w:sz w:val="32"/>
          <w:szCs w:val="32"/>
        </w:rPr>
        <w:t>一是</w:t>
      </w:r>
      <w:r>
        <w:rPr>
          <w:rFonts w:hint="eastAsia" w:eastAsia="仿宋_GB2312"/>
          <w:sz w:val="32"/>
          <w:szCs w:val="32"/>
        </w:rPr>
        <w:t>继续推行民宿行业抵押登记。明确永嘉</w:t>
      </w:r>
      <w:r>
        <w:rPr>
          <w:rFonts w:hint="eastAsia" w:hAnsi="仿宋_GB2312" w:eastAsia="仿宋_GB2312"/>
          <w:sz w:val="32"/>
          <w:szCs w:val="32"/>
          <w:shd w:val="clear" w:color="auto" w:fill="FFFFFF"/>
        </w:rPr>
        <w:t>农村产权服务中心</w:t>
      </w:r>
      <w:r>
        <w:rPr>
          <w:rFonts w:hint="eastAsia" w:eastAsia="仿宋_GB2312"/>
          <w:sz w:val="32"/>
          <w:szCs w:val="32"/>
        </w:rPr>
        <w:t>登记职责，借助行业协会的外部监督力量，从源头上帮助合作银行做好融资实质性风险把控，做好拟入围客户备案登记和数据信息共享。</w:t>
      </w:r>
      <w:r>
        <w:rPr>
          <w:rFonts w:hint="eastAsia" w:ascii="黑体" w:hAnsi="黑体" w:eastAsia="黑体"/>
          <w:sz w:val="32"/>
          <w:szCs w:val="32"/>
        </w:rPr>
        <w:t>二是</w:t>
      </w:r>
      <w:r>
        <w:rPr>
          <w:rFonts w:hint="eastAsia" w:eastAsia="仿宋_GB2312"/>
          <w:sz w:val="32"/>
          <w:szCs w:val="32"/>
        </w:rPr>
        <w:t>拓展民宿投资融资渠道。创新险资直投、绿色PPP、乡村综合授信等模式，支持民宿企业开展股权托管、转让与融资，引导民间资本、金融资本“下乡”，助力楠溪江民宿业集群高质量发展。</w:t>
      </w:r>
      <w:r>
        <w:rPr>
          <w:rFonts w:hint="eastAsia" w:ascii="黑体" w:hAnsi="黑体" w:eastAsia="黑体"/>
          <w:sz w:val="32"/>
          <w:szCs w:val="32"/>
        </w:rPr>
        <w:t>三是</w:t>
      </w:r>
      <w:r>
        <w:rPr>
          <w:rFonts w:hint="eastAsia" w:eastAsia="仿宋_GB2312"/>
          <w:sz w:val="32"/>
          <w:szCs w:val="32"/>
        </w:rPr>
        <w:t>打造县域智慧民宿平台。鼓励金融机构开展线上线下一体化智慧结算，推进银行信用卡跨界合作，拓展民宿消费的金融服务场景。</w:t>
      </w:r>
    </w:p>
    <w:p>
      <w:pPr>
        <w:ind w:firstLine="640" w:firstLineChars="200"/>
        <w:rPr>
          <w:rFonts w:eastAsia="仿宋_GB2312"/>
        </w:rPr>
      </w:pPr>
      <w:r>
        <w:rPr>
          <w:rFonts w:hint="eastAsia" w:ascii="黑体" w:hAnsi="黑体" w:eastAsia="黑体"/>
          <w:sz w:val="32"/>
          <w:szCs w:val="32"/>
        </w:rPr>
        <w:t>2、创新开展景区项目金融服务。</w:t>
      </w:r>
      <w:r>
        <w:rPr>
          <w:rFonts w:hint="eastAsia" w:eastAsia="仿宋_GB2312"/>
          <w:sz w:val="32"/>
          <w:szCs w:val="32"/>
        </w:rPr>
        <w:t>加大重点景区基础设施建设、项目开发的金融支持力度，通过多元化融资手段助力景区转型升级。</w:t>
      </w:r>
      <w:r>
        <w:rPr>
          <w:rFonts w:hint="eastAsia" w:ascii="黑体" w:hAnsi="黑体" w:eastAsia="黑体"/>
          <w:sz w:val="32"/>
          <w:szCs w:val="32"/>
        </w:rPr>
        <w:t>一是</w:t>
      </w:r>
      <w:r>
        <w:rPr>
          <w:rFonts w:hint="eastAsia" w:eastAsia="仿宋_GB2312"/>
          <w:sz w:val="32"/>
          <w:szCs w:val="32"/>
        </w:rPr>
        <w:t>创新旅游项目金融服务政策。实施“一项目一方案一政策”，根据景区项目开发建设进度和需要，搭建资源、信息、信贷、保险业务对接互动平台，完善旅游风景区金融资源倾斜机制。</w:t>
      </w:r>
      <w:r>
        <w:rPr>
          <w:rFonts w:hint="eastAsia" w:ascii="黑体" w:hAnsi="黑体" w:eastAsia="黑体"/>
          <w:sz w:val="32"/>
          <w:szCs w:val="32"/>
        </w:rPr>
        <w:t>二是</w:t>
      </w:r>
      <w:r>
        <w:rPr>
          <w:rFonts w:hint="eastAsia" w:eastAsia="仿宋_GB2312"/>
          <w:sz w:val="32"/>
          <w:szCs w:val="32"/>
        </w:rPr>
        <w:t>创新旅游项目金融服务</w:t>
      </w:r>
      <w:r>
        <w:rPr>
          <w:rFonts w:hint="eastAsia" w:eastAsia="仿宋_GB2312"/>
          <w:sz w:val="32"/>
          <w:szCs w:val="32"/>
          <w:lang w:val="en-US" w:eastAsia="zh-CN"/>
        </w:rPr>
        <w:t>产品</w:t>
      </w:r>
      <w:r>
        <w:rPr>
          <w:rFonts w:hint="eastAsia" w:eastAsia="仿宋_GB2312"/>
          <w:sz w:val="32"/>
          <w:szCs w:val="32"/>
        </w:rPr>
        <w:t>。重点关注国家资金支持投向，配套提供固定资产贷款、项目融资贷款、流动资金贷款、票据贴现等信贷融资产品，开发景区基础设施建设专项中长期贷款，为景区产业链提供全方位多层次金融服务</w:t>
      </w:r>
      <w:r>
        <w:rPr>
          <w:rFonts w:hint="eastAsia" w:eastAsia="仿宋_GB2312"/>
          <w:sz w:val="32"/>
          <w:szCs w:val="32"/>
          <w:lang w:eastAsia="zh-CN"/>
        </w:rPr>
        <w:t>，</w:t>
      </w:r>
      <w:r>
        <w:rPr>
          <w:rFonts w:hint="eastAsia" w:eastAsia="仿宋_GB2312"/>
          <w:sz w:val="32"/>
          <w:szCs w:val="32"/>
        </w:rPr>
        <w:t>探索开展旅游景区经营权质押和门票收入权质押业务，积极开展景区建设用地使用权、林权等抵质押业务。</w:t>
      </w:r>
    </w:p>
    <w:p>
      <w:pPr>
        <w:spacing w:line="360" w:lineRule="auto"/>
        <w:ind w:firstLine="640" w:firstLineChars="200"/>
        <w:rPr>
          <w:rFonts w:eastAsia="仿宋_GB2312"/>
          <w:sz w:val="32"/>
          <w:szCs w:val="32"/>
        </w:rPr>
      </w:pPr>
      <w:r>
        <w:rPr>
          <w:rFonts w:hint="eastAsia" w:ascii="黑体" w:hAnsi="黑体" w:eastAsia="黑体"/>
          <w:sz w:val="32"/>
          <w:szCs w:val="32"/>
        </w:rPr>
        <w:t>3、创新开展综合项目金融服务。</w:t>
      </w:r>
      <w:r>
        <w:rPr>
          <w:rFonts w:hint="eastAsia" w:eastAsia="仿宋_GB2312"/>
          <w:sz w:val="32"/>
          <w:szCs w:val="32"/>
        </w:rPr>
        <w:t>将金融创新与林业等生态资源确权改革有机结合起来，以“多平台建设、多品种覆盖、多政策推动”方式</w:t>
      </w:r>
      <w:r>
        <w:rPr>
          <w:rFonts w:hint="eastAsia" w:hAnsi="Times New Roman" w:eastAsia="仿宋_GB2312"/>
          <w:sz w:val="32"/>
          <w:szCs w:val="32"/>
        </w:rPr>
        <w:t>，助力打造森林康养示范区。</w:t>
      </w:r>
      <w:r>
        <w:rPr>
          <w:rFonts w:hint="eastAsia" w:ascii="黑体" w:hAnsi="黑体" w:eastAsia="黑体"/>
          <w:sz w:val="32"/>
          <w:szCs w:val="32"/>
        </w:rPr>
        <w:t>一是</w:t>
      </w:r>
      <w:r>
        <w:rPr>
          <w:rFonts w:hint="eastAsia" w:eastAsia="仿宋_GB2312"/>
          <w:sz w:val="32"/>
          <w:szCs w:val="32"/>
        </w:rPr>
        <w:t>建立完善林权资产评估体系和流转体系，规范统一评估标准、方法和流程，做好林权流转市场交易的综合服务，推动林业资产和资本的有序流动，有效解决金融机构评估、抵押、流转林业抵押物的困难。</w:t>
      </w:r>
      <w:r>
        <w:rPr>
          <w:rFonts w:hint="eastAsia" w:ascii="黑体" w:hAnsi="黑体" w:eastAsia="黑体"/>
          <w:sz w:val="32"/>
          <w:szCs w:val="32"/>
        </w:rPr>
        <w:t>二是</w:t>
      </w:r>
      <w:r>
        <w:rPr>
          <w:rFonts w:hint="eastAsia" w:eastAsia="仿宋_GB2312"/>
          <w:sz w:val="32"/>
          <w:szCs w:val="32"/>
        </w:rPr>
        <w:t>推动金融资源流向森林康养产业，发挥林业部门的行业管理优势和农信社的金融服务体系优势，推进林权、公益林补偿收益权等质抵押业务，重点助力林业企业、林业专业合作社、林业大户发展壮大。</w:t>
      </w:r>
      <w:r>
        <w:rPr>
          <w:rFonts w:hint="eastAsia" w:ascii="黑体" w:hAnsi="黑体" w:eastAsia="黑体"/>
          <w:sz w:val="32"/>
          <w:szCs w:val="32"/>
        </w:rPr>
        <w:t>三是</w:t>
      </w:r>
      <w:r>
        <w:rPr>
          <w:rFonts w:hint="eastAsia" w:eastAsia="仿宋_GB2312"/>
          <w:sz w:val="32"/>
          <w:szCs w:val="32"/>
        </w:rPr>
        <w:t>支持康养产业孵化发展，</w:t>
      </w:r>
      <w:r>
        <w:rPr>
          <w:rFonts w:hint="eastAsia" w:hAnsi="Times New Roman" w:eastAsia="仿宋_GB2312"/>
          <w:sz w:val="32"/>
          <w:szCs w:val="32"/>
        </w:rPr>
        <w:t>面向现代健康制造、生物制药和中医药等产业，</w:t>
      </w:r>
      <w:r>
        <w:rPr>
          <w:rFonts w:hint="eastAsia" w:eastAsia="仿宋_GB2312"/>
          <w:sz w:val="32"/>
          <w:szCs w:val="32"/>
        </w:rPr>
        <w:t>建立森林康养产业投融资平台，探索设立康养产业</w:t>
      </w:r>
      <w:r>
        <w:rPr>
          <w:rFonts w:hint="eastAsia" w:hAnsi="Times New Roman" w:eastAsia="仿宋_GB2312"/>
          <w:sz w:val="32"/>
          <w:szCs w:val="32"/>
        </w:rPr>
        <w:t>基金，布局康养企业孵化器，推动银、政、企合作，打造一个创新创业到孵化成长的服务链。</w:t>
      </w:r>
    </w:p>
    <w:p>
      <w:pPr>
        <w:pStyle w:val="5"/>
        <w:spacing w:before="0" w:after="0" w:line="360" w:lineRule="auto"/>
        <w:ind w:firstLine="643" w:firstLineChars="200"/>
        <w:rPr>
          <w:rFonts w:ascii="黑体" w:hAnsi="黑体" w:eastAsia="黑体"/>
        </w:rPr>
      </w:pPr>
      <w:bookmarkStart w:id="18" w:name="_Toc63166577"/>
      <w:r>
        <w:rPr>
          <w:rFonts w:hint="eastAsia" w:ascii="黑体" w:hAnsi="黑体" w:eastAsia="黑体"/>
        </w:rPr>
        <w:t>（四）实施科创金融工程</w:t>
      </w:r>
      <w:bookmarkEnd w:id="18"/>
    </w:p>
    <w:p>
      <w:pPr>
        <w:spacing w:line="360" w:lineRule="auto"/>
        <w:ind w:firstLine="640" w:firstLineChars="200"/>
        <w:rPr>
          <w:rFonts w:eastAsia="仿宋_GB2312"/>
          <w:sz w:val="32"/>
          <w:szCs w:val="32"/>
        </w:rPr>
      </w:pPr>
      <w:r>
        <w:rPr>
          <w:rFonts w:hint="eastAsia" w:eastAsia="仿宋_GB2312"/>
          <w:sz w:val="32"/>
          <w:szCs w:val="32"/>
        </w:rPr>
        <w:t>抢抓新一轮产业创新发展机遇，积极推进金融与科技融合发展，引导金融活水浇溉创业创新的希望田野。</w:t>
      </w:r>
    </w:p>
    <w:p>
      <w:pPr>
        <w:ind w:firstLine="640" w:firstLineChars="200"/>
      </w:pPr>
      <w:r>
        <w:rPr>
          <w:rFonts w:hint="eastAsia" w:ascii="黑体" w:hAnsi="黑体" w:eastAsia="黑体"/>
          <w:sz w:val="32"/>
          <w:szCs w:val="32"/>
        </w:rPr>
        <w:t>1、创新推进知识产权证券化</w:t>
      </w:r>
      <w:r>
        <w:rPr>
          <w:rFonts w:hint="eastAsia" w:eastAsia="仿宋_GB2312"/>
          <w:sz w:val="32"/>
          <w:szCs w:val="32"/>
        </w:rPr>
        <w:t>。健全知识产权协同保护机制，发展知识产权证券化融资，活盘知识产权资产，转换为具有流动性、可交易金融资产。</w:t>
      </w:r>
      <w:r>
        <w:rPr>
          <w:rFonts w:hint="eastAsia" w:ascii="黑体" w:hAnsi="黑体" w:eastAsia="黑体"/>
          <w:sz w:val="32"/>
          <w:szCs w:val="32"/>
        </w:rPr>
        <w:t>一是</w:t>
      </w:r>
      <w:r>
        <w:rPr>
          <w:rFonts w:hint="eastAsia" w:eastAsia="仿宋_GB2312"/>
          <w:sz w:val="32"/>
          <w:szCs w:val="32"/>
        </w:rPr>
        <w:t>实施知识产权证券化服务费补助政策，设立知识产权证券化风险基金或保险产品，引导推动开展知识产权证券化业务。</w:t>
      </w:r>
      <w:r>
        <w:rPr>
          <w:rFonts w:hint="eastAsia" w:ascii="黑体" w:hAnsi="黑体" w:eastAsia="黑体"/>
          <w:bCs/>
          <w:sz w:val="32"/>
          <w:szCs w:val="32"/>
        </w:rPr>
        <w:t>二是</w:t>
      </w:r>
      <w:r>
        <w:rPr>
          <w:rFonts w:hint="eastAsia" w:eastAsia="仿宋_GB2312"/>
          <w:sz w:val="32"/>
          <w:szCs w:val="32"/>
        </w:rPr>
        <w:t>引进、培育运营机构、证券化项目管理人等高端知识产权服务机构，积极组建知识产权包或产业专利池。</w:t>
      </w:r>
      <w:r>
        <w:rPr>
          <w:rFonts w:hint="eastAsia" w:ascii="黑体" w:hAnsi="黑体" w:eastAsia="黑体"/>
          <w:bCs/>
          <w:sz w:val="32"/>
          <w:szCs w:val="32"/>
        </w:rPr>
        <w:t>三是</w:t>
      </w:r>
      <w:r>
        <w:rPr>
          <w:rFonts w:hint="eastAsia" w:eastAsia="仿宋_GB2312"/>
          <w:sz w:val="32"/>
          <w:szCs w:val="32"/>
        </w:rPr>
        <w:t>建设知识产权金融公共服务平台，</w:t>
      </w:r>
      <w:r>
        <w:rPr>
          <w:rFonts w:hint="eastAsia" w:ascii="Times New Roman" w:hAnsi="Times New Roman" w:eastAsia="仿宋_GB2312"/>
          <w:sz w:val="32"/>
          <w:szCs w:val="32"/>
        </w:rPr>
        <w:t>加强知识产权证券化协同工作体系建设，</w:t>
      </w:r>
      <w:r>
        <w:rPr>
          <w:rFonts w:hint="eastAsia" w:eastAsia="仿宋_GB2312"/>
          <w:sz w:val="32"/>
          <w:szCs w:val="32"/>
        </w:rPr>
        <w:t>建立具有地方、行业特点且较为科学、合理的知识产权证券化相关标准、规则和配套措施</w:t>
      </w:r>
      <w:r>
        <w:rPr>
          <w:rFonts w:hint="eastAsia" w:ascii="Times New Roman" w:hAnsi="Times New Roman" w:eastAsia="仿宋_GB2312"/>
          <w:sz w:val="32"/>
          <w:szCs w:val="32"/>
        </w:rPr>
        <w:t>。</w:t>
      </w:r>
    </w:p>
    <w:p>
      <w:pPr>
        <w:pStyle w:val="2"/>
        <w:adjustRightInd w:val="0"/>
        <w:snapToGrid w:val="0"/>
        <w:spacing w:after="0" w:line="600" w:lineRule="exact"/>
        <w:ind w:firstLine="640" w:firstLineChars="200"/>
      </w:pPr>
      <w:r>
        <w:rPr>
          <w:rFonts w:hint="eastAsia" w:ascii="黑体" w:hAnsi="黑体" w:eastAsia="黑体"/>
          <w:sz w:val="32"/>
          <w:szCs w:val="32"/>
        </w:rPr>
        <w:t>2、创新开展无形资产质押。</w:t>
      </w:r>
      <w:r>
        <w:rPr>
          <w:rFonts w:hint="eastAsia" w:eastAsia="仿宋_GB2312"/>
          <w:sz w:val="32"/>
          <w:szCs w:val="32"/>
        </w:rPr>
        <w:t>加快无形资产质押融资，有效缓解科技型企业融资难题。</w:t>
      </w:r>
      <w:r>
        <w:rPr>
          <w:rFonts w:hint="eastAsia" w:ascii="黑体" w:hAnsi="黑体" w:eastAsia="黑体"/>
          <w:bCs/>
          <w:sz w:val="32"/>
          <w:szCs w:val="32"/>
        </w:rPr>
        <w:t>一是</w:t>
      </w:r>
      <w:r>
        <w:rPr>
          <w:rFonts w:hint="eastAsia" w:eastAsia="仿宋_GB2312"/>
          <w:sz w:val="32"/>
          <w:szCs w:val="32"/>
        </w:rPr>
        <w:t>完善科创金融服务体系。鼓励商业银行设立科技贷款中心、科技金融事业部、科技银行等专营机构，引导保险公司设立科技保险专营机构，大力发展各类私募股权投资，积极引入法律会计、管理咨询等科创金融辅助服务。</w:t>
      </w:r>
      <w:r>
        <w:rPr>
          <w:rFonts w:hint="eastAsia" w:ascii="黑体" w:hAnsi="黑体" w:eastAsia="黑体"/>
          <w:bCs/>
          <w:sz w:val="32"/>
          <w:szCs w:val="32"/>
        </w:rPr>
        <w:t>二是</w:t>
      </w:r>
      <w:r>
        <w:rPr>
          <w:rFonts w:hint="eastAsia" w:eastAsia="仿宋_GB2312"/>
          <w:sz w:val="32"/>
          <w:szCs w:val="32"/>
        </w:rPr>
        <w:t>创新无形资产质押信贷产品。</w:t>
      </w:r>
      <w:r>
        <w:rPr>
          <w:rFonts w:ascii="Times New Roman" w:hAnsi="Times New Roman" w:eastAsia="仿宋_GB2312"/>
          <w:sz w:val="32"/>
          <w:szCs w:val="32"/>
        </w:rPr>
        <w:t>依托科创核心企业，优化供应链金融服务</w:t>
      </w:r>
      <w:r>
        <w:rPr>
          <w:rFonts w:hint="eastAsia" w:ascii="Times New Roman" w:hAnsi="Times New Roman" w:eastAsia="仿宋_GB2312"/>
          <w:sz w:val="32"/>
          <w:szCs w:val="32"/>
        </w:rPr>
        <w:t>体系</w:t>
      </w:r>
      <w:r>
        <w:rPr>
          <w:rFonts w:ascii="Times New Roman" w:hAnsi="Times New Roman" w:eastAsia="仿宋_GB2312"/>
          <w:sz w:val="32"/>
          <w:szCs w:val="32"/>
        </w:rPr>
        <w:t>，支持开展应收账款质押、票据贴现、保理、信用证等供应链金融创新</w:t>
      </w:r>
      <w:r>
        <w:rPr>
          <w:rFonts w:hint="eastAsia" w:ascii="Times New Roman" w:hAnsi="Times New Roman" w:eastAsia="仿宋_GB2312"/>
          <w:sz w:val="32"/>
          <w:szCs w:val="32"/>
        </w:rPr>
        <w:t>，</w:t>
      </w:r>
      <w:r>
        <w:rPr>
          <w:rFonts w:ascii="Times New Roman" w:hAnsi="Times New Roman" w:eastAsia="仿宋_GB2312"/>
          <w:sz w:val="32"/>
          <w:szCs w:val="32"/>
        </w:rPr>
        <w:t>发展知识产权、股权、保单等动产</w:t>
      </w:r>
      <w:r>
        <w:rPr>
          <w:rFonts w:hint="eastAsia" w:ascii="Times New Roman" w:hAnsi="Times New Roman" w:eastAsia="仿宋_GB2312"/>
          <w:sz w:val="32"/>
          <w:szCs w:val="32"/>
        </w:rPr>
        <w:t>质押</w:t>
      </w:r>
      <w:r>
        <w:rPr>
          <w:rFonts w:ascii="Times New Roman" w:hAnsi="Times New Roman" w:eastAsia="仿宋_GB2312"/>
          <w:sz w:val="32"/>
          <w:szCs w:val="32"/>
        </w:rPr>
        <w:t>产品和信用贷款。</w:t>
      </w:r>
      <w:r>
        <w:rPr>
          <w:rFonts w:hint="eastAsia" w:ascii="黑体" w:hAnsi="黑体" w:eastAsia="黑体"/>
          <w:bCs/>
          <w:sz w:val="32"/>
          <w:szCs w:val="32"/>
        </w:rPr>
        <w:t>三是</w:t>
      </w:r>
      <w:r>
        <w:rPr>
          <w:rFonts w:hint="eastAsia" w:eastAsia="仿宋_GB2312"/>
          <w:sz w:val="32"/>
          <w:szCs w:val="32"/>
        </w:rPr>
        <w:t>探索“股权＋债权”联动模式。构建银行、保险、融资担保、股权投资等多方联动、利益共享、风险共担机制，支持商业银行与创投机构联动，加大对科创企业的资金支持。</w:t>
      </w:r>
    </w:p>
    <w:p>
      <w:pPr>
        <w:pStyle w:val="42"/>
        <w:adjustRightInd w:val="0"/>
        <w:snapToGrid w:val="0"/>
        <w:spacing w:line="600" w:lineRule="exact"/>
        <w:ind w:firstLine="640"/>
        <w:rPr>
          <w:rFonts w:eastAsia="仿宋_GB2312"/>
          <w:sz w:val="32"/>
          <w:szCs w:val="32"/>
        </w:rPr>
      </w:pPr>
      <w:r>
        <w:rPr>
          <w:rFonts w:hint="eastAsia" w:ascii="黑体" w:hAnsi="黑体" w:eastAsia="黑体"/>
          <w:sz w:val="32"/>
          <w:szCs w:val="32"/>
        </w:rPr>
        <w:t>3、创新开展人才项目信贷。</w:t>
      </w:r>
      <w:r>
        <w:rPr>
          <w:rFonts w:hint="eastAsia" w:eastAsia="仿宋_GB2312"/>
          <w:sz w:val="32"/>
          <w:szCs w:val="32"/>
        </w:rPr>
        <w:t>创新银行人才信贷服务。鼓励金融机构加大对人才及人才企业的信贷资金倾斜，单列专项信贷计划，开辟绿色通道，创新对初创期人才企业的信贷支持方式。创新人才股权投资。发挥政府性投资基金引导作用，将人才创业创新项目纳入各类社会资本子基金投资项目“白名单”予以优先支持，促进社会资本对人才企业进行股权投资。</w:t>
      </w:r>
    </w:p>
    <w:p>
      <w:pPr>
        <w:adjustRightInd w:val="0"/>
        <w:snapToGrid w:val="0"/>
        <w:spacing w:line="360" w:lineRule="auto"/>
        <w:ind w:firstLine="640" w:firstLineChars="200"/>
      </w:pPr>
      <w:r>
        <w:rPr>
          <w:rFonts w:hint="eastAsia" w:ascii="黑体" w:hAnsi="黑体" w:eastAsia="黑体"/>
          <w:sz w:val="32"/>
          <w:szCs w:val="32"/>
        </w:rPr>
        <w:t>4、探索发展创新投资基金。</w:t>
      </w:r>
      <w:r>
        <w:rPr>
          <w:rFonts w:hint="eastAsia" w:eastAsia="仿宋_GB2312"/>
          <w:sz w:val="32"/>
          <w:szCs w:val="32"/>
        </w:rPr>
        <w:t>鼓励天使投资、风险投资、创业投资、产业投资基金项目落地永嘉，引导资金脱虚向实、服务创新。</w:t>
      </w:r>
      <w:r>
        <w:rPr>
          <w:rFonts w:hint="eastAsia" w:ascii="黑体" w:hAnsi="黑体" w:eastAsia="黑体"/>
          <w:bCs/>
          <w:sz w:val="32"/>
          <w:szCs w:val="32"/>
        </w:rPr>
        <w:t>一是</w:t>
      </w:r>
      <w:r>
        <w:rPr>
          <w:rFonts w:hint="eastAsia" w:eastAsia="仿宋_GB2312"/>
          <w:sz w:val="32"/>
          <w:szCs w:val="32"/>
        </w:rPr>
        <w:t>发挥“畅融工程”平台作用，建立投资基金与科创类企业对接机制，及时掌握科创类企业股权动态，引导股权投资基金、创业投资基金投资科创类企业，主动承接科创类股权转让。</w:t>
      </w:r>
      <w:r>
        <w:rPr>
          <w:rFonts w:hint="eastAsia" w:ascii="黑体" w:hAnsi="黑体" w:eastAsia="黑体"/>
          <w:bCs/>
          <w:sz w:val="32"/>
          <w:szCs w:val="32"/>
        </w:rPr>
        <w:t>二是</w:t>
      </w:r>
      <w:r>
        <w:rPr>
          <w:rFonts w:hint="eastAsia" w:eastAsia="仿宋_GB2312"/>
          <w:sz w:val="32"/>
          <w:szCs w:val="32"/>
        </w:rPr>
        <w:t>加强投资基金与高校科研院所对接合作，发挥创投资本服务科技创新作用，促进股权和创业投资份额流转，支持科技成果转化。</w:t>
      </w:r>
      <w:r>
        <w:rPr>
          <w:rFonts w:hint="eastAsia" w:ascii="黑体" w:hAnsi="黑体" w:eastAsia="黑体"/>
          <w:bCs/>
          <w:sz w:val="32"/>
          <w:szCs w:val="32"/>
        </w:rPr>
        <w:t>三是</w:t>
      </w:r>
      <w:r>
        <w:rPr>
          <w:rFonts w:hint="eastAsia" w:eastAsia="仿宋_GB2312"/>
          <w:sz w:val="32"/>
          <w:szCs w:val="32"/>
        </w:rPr>
        <w:t>探索“孵化+基金”模式，支持小微园、众创空间、孵化器成立孵化器专业基金，激活民营经济以及社会大众的创新创业活力。</w:t>
      </w:r>
    </w:p>
    <w:p>
      <w:pPr>
        <w:pStyle w:val="5"/>
        <w:spacing w:before="0" w:after="0" w:line="360" w:lineRule="auto"/>
        <w:ind w:firstLine="643" w:firstLineChars="200"/>
        <w:rPr>
          <w:rFonts w:ascii="黑体" w:hAnsi="黑体" w:eastAsia="黑体"/>
        </w:rPr>
      </w:pPr>
      <w:bookmarkStart w:id="19" w:name="_Toc63166578"/>
      <w:r>
        <w:rPr>
          <w:rFonts w:hint="eastAsia" w:ascii="黑体" w:hAnsi="黑体" w:eastAsia="黑体"/>
        </w:rPr>
        <w:t>（五）实施股改上市工程</w:t>
      </w:r>
      <w:bookmarkEnd w:id="19"/>
    </w:p>
    <w:p>
      <w:pPr>
        <w:adjustRightInd w:val="0"/>
        <w:snapToGrid w:val="0"/>
        <w:spacing w:line="360" w:lineRule="auto"/>
        <w:ind w:firstLine="640" w:firstLineChars="200"/>
        <w:rPr>
          <w:rFonts w:eastAsia="仿宋_GB2312"/>
          <w:sz w:val="32"/>
          <w:szCs w:val="32"/>
        </w:rPr>
      </w:pPr>
      <w:r>
        <w:rPr>
          <w:rFonts w:hint="eastAsia" w:eastAsia="仿宋_GB2312"/>
          <w:sz w:val="32"/>
          <w:szCs w:val="32"/>
        </w:rPr>
        <w:t>紧扣企业转型升级的痛点堵点，精准服务、深入服务，推动企业管理运营现代化，提升融资能力和水平。</w:t>
      </w:r>
    </w:p>
    <w:p>
      <w:pPr>
        <w:adjustRightInd w:val="0"/>
        <w:snapToGrid w:val="0"/>
        <w:spacing w:line="360" w:lineRule="auto"/>
        <w:ind w:firstLine="640" w:firstLineChars="200"/>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sz w:val="32"/>
          <w:szCs w:val="32"/>
        </w:rPr>
        <w:t>1、促进企业现代管理。</w:t>
      </w:r>
      <w:r>
        <w:rPr>
          <w:rFonts w:hint="eastAsia" w:hAnsi="仿宋_GB2312" w:eastAsia="仿宋_GB2312" w:cs="仿宋_GB2312"/>
          <w:color w:val="000000" w:themeColor="text1"/>
          <w:sz w:val="32"/>
          <w:szCs w:val="32"/>
          <w:shd w:val="clear" w:color="auto" w:fill="FFFFFF"/>
          <w14:textFill>
            <w14:solidFill>
              <w14:schemeClr w14:val="tx1"/>
            </w14:solidFill>
          </w14:textFill>
        </w:rPr>
        <w:t>深入实施企业现代管理对标工程，大力实施“凤凰”计划，培育壮大一批“专精特新”的单项冠军、隐形冠军、小巨人企业，支持更多企业抢占产业链价值链关键环节和高端领域。突出建立现代治理结构，优化企业股权结构和运行架构，加强人力资源管理，提升企业科学化规范化管理能力和水平。突出建立企业现代财务制度，提升综合财务运营能力，提高价值创造能力。突出建立企业风险内控机制，促进企业探索建立合规管理制度体系。</w:t>
      </w:r>
    </w:p>
    <w:p>
      <w:pPr>
        <w:adjustRightInd w:val="0"/>
        <w:snapToGrid w:val="0"/>
        <w:spacing w:line="360" w:lineRule="auto"/>
        <w:ind w:firstLine="640" w:firstLineChars="200"/>
        <w:rPr>
          <w:rFonts w:hAnsi="仿宋_GB2312" w:eastAsia="仿宋_GB2312" w:cs="仿宋_GB2312"/>
          <w:sz w:val="32"/>
          <w:szCs w:val="32"/>
        </w:rPr>
      </w:pPr>
      <w:r>
        <w:rPr>
          <w:rFonts w:hint="eastAsia" w:ascii="黑体" w:hAnsi="黑体" w:eastAsia="黑体"/>
          <w:sz w:val="32"/>
          <w:szCs w:val="32"/>
        </w:rPr>
        <w:t>2、提升企业战略思维。</w:t>
      </w:r>
      <w:r>
        <w:rPr>
          <w:rFonts w:hint="eastAsia" w:hAnsi="仿宋_GB2312" w:eastAsia="仿宋_GB2312" w:cs="仿宋_GB2312"/>
          <w:color w:val="000000" w:themeColor="text1"/>
          <w:sz w:val="32"/>
          <w:szCs w:val="32"/>
          <w:shd w:val="clear" w:color="auto" w:fill="FFFFFF"/>
          <w14:textFill>
            <w14:solidFill>
              <w14:schemeClr w14:val="tx1"/>
            </w14:solidFill>
          </w14:textFill>
        </w:rPr>
        <w:t>鼓励支持企业谋好上市战略规划，整合知识、技术、人才、渠道等资源，提高企业的核心竞争力和可持续发展能力。</w:t>
      </w:r>
      <w:r>
        <w:rPr>
          <w:rFonts w:hint="eastAsia" w:ascii="黑体" w:hAnsi="黑体" w:eastAsia="黑体" w:cs="仿宋_GB2312"/>
          <w:bCs/>
          <w:color w:val="000000" w:themeColor="text1"/>
          <w:sz w:val="32"/>
          <w:szCs w:val="32"/>
          <w:shd w:val="clear" w:color="auto" w:fill="FFFFFF"/>
          <w14:textFill>
            <w14:solidFill>
              <w14:schemeClr w14:val="tx1"/>
            </w14:solidFill>
          </w14:textFill>
        </w:rPr>
        <w:t>一是</w:t>
      </w:r>
      <w:r>
        <w:rPr>
          <w:rFonts w:hint="eastAsia" w:hAnsi="仿宋_GB2312" w:eastAsia="仿宋_GB2312" w:cs="仿宋_GB2312"/>
          <w:color w:val="000000" w:themeColor="text1"/>
          <w:sz w:val="32"/>
          <w:szCs w:val="32"/>
          <w:shd w:val="clear" w:color="auto" w:fill="FFFFFF"/>
          <w14:textFill>
            <w14:solidFill>
              <w14:schemeClr w14:val="tx1"/>
            </w14:solidFill>
          </w14:textFill>
        </w:rPr>
        <w:t>深入开展上市培训宣传，通过培训会、研讨会、参观考察等形式，加强董秘、财务总监等企业高管培训，帮助企业了解资本市场知识和政策。</w:t>
      </w:r>
      <w:r>
        <w:rPr>
          <w:rFonts w:hint="eastAsia" w:ascii="黑体" w:hAnsi="黑体" w:eastAsia="黑体" w:cs="仿宋_GB2312"/>
          <w:bCs/>
          <w:color w:val="000000" w:themeColor="text1"/>
          <w:sz w:val="32"/>
          <w:szCs w:val="32"/>
          <w:shd w:val="clear" w:color="auto" w:fill="FFFFFF"/>
          <w14:textFill>
            <w14:solidFill>
              <w14:schemeClr w14:val="tx1"/>
            </w14:solidFill>
          </w14:textFill>
        </w:rPr>
        <w:t>二是</w:t>
      </w:r>
      <w:r>
        <w:rPr>
          <w:rFonts w:hint="eastAsia" w:hAnsi="仿宋_GB2312" w:eastAsia="仿宋_GB2312" w:cs="仿宋_GB2312"/>
          <w:color w:val="000000" w:themeColor="text1"/>
          <w:sz w:val="32"/>
          <w:szCs w:val="32"/>
          <w:shd w:val="clear" w:color="auto" w:fill="FFFFFF"/>
          <w14:textFill>
            <w14:solidFill>
              <w14:schemeClr w14:val="tx1"/>
            </w14:solidFill>
          </w14:textFill>
        </w:rPr>
        <w:t>邀请有关专家、中介机构开展专题培训和个案辅导，开展“一对一”暖人心服务，切实改变民营企业上市观念。</w:t>
      </w:r>
      <w:r>
        <w:rPr>
          <w:rFonts w:hint="eastAsia" w:ascii="黑体" w:hAnsi="黑体" w:eastAsia="黑体" w:cs="仿宋_GB2312"/>
          <w:bCs/>
          <w:color w:val="000000" w:themeColor="text1"/>
          <w:sz w:val="32"/>
          <w:szCs w:val="32"/>
          <w:shd w:val="clear" w:color="auto" w:fill="FFFFFF"/>
          <w14:textFill>
            <w14:solidFill>
              <w14:schemeClr w14:val="tx1"/>
            </w14:solidFill>
          </w14:textFill>
        </w:rPr>
        <w:t>三是</w:t>
      </w:r>
      <w:r>
        <w:rPr>
          <w:rFonts w:hint="eastAsia" w:hAnsi="Times New Roman" w:eastAsia="仿宋_GB2312"/>
          <w:sz w:val="32"/>
          <w:szCs w:val="32"/>
        </w:rPr>
        <w:t>创新建立</w:t>
      </w:r>
      <w:r>
        <w:rPr>
          <w:rFonts w:hAnsi="Times New Roman" w:eastAsia="仿宋_GB2312"/>
          <w:sz w:val="32"/>
          <w:szCs w:val="32"/>
        </w:rPr>
        <w:t>企业</w:t>
      </w:r>
      <w:r>
        <w:rPr>
          <w:rFonts w:hint="eastAsia" w:hAnsi="Times New Roman" w:eastAsia="仿宋_GB2312"/>
          <w:sz w:val="32"/>
          <w:szCs w:val="32"/>
        </w:rPr>
        <w:t>金融</w:t>
      </w:r>
      <w:r>
        <w:rPr>
          <w:rFonts w:hAnsi="Times New Roman" w:eastAsia="仿宋_GB2312"/>
          <w:sz w:val="32"/>
          <w:szCs w:val="32"/>
        </w:rPr>
        <w:t>顾问</w:t>
      </w:r>
      <w:r>
        <w:rPr>
          <w:rFonts w:hint="eastAsia" w:hAnsi="Times New Roman" w:eastAsia="仿宋_GB2312"/>
          <w:sz w:val="32"/>
          <w:szCs w:val="32"/>
        </w:rPr>
        <w:t>制度</w:t>
      </w:r>
      <w:r>
        <w:rPr>
          <w:rFonts w:hAnsi="Times New Roman" w:eastAsia="仿宋_GB2312"/>
          <w:sz w:val="32"/>
          <w:szCs w:val="32"/>
        </w:rPr>
        <w:t>，</w:t>
      </w:r>
      <w:r>
        <w:rPr>
          <w:rFonts w:hint="eastAsia" w:eastAsia="仿宋_GB2312"/>
          <w:sz w:val="32"/>
          <w:szCs w:val="32"/>
        </w:rPr>
        <w:t>组建省级、市级和县级专家金融顾问队伍，完善基础财会管理、提高信用等级、增加资金融通，提供全方位金融咨询服务。</w:t>
      </w:r>
    </w:p>
    <w:p>
      <w:pPr>
        <w:adjustRightInd w:val="0"/>
        <w:snapToGrid w:val="0"/>
        <w:spacing w:line="360" w:lineRule="auto"/>
        <w:ind w:firstLine="640" w:firstLineChars="200"/>
        <w:rPr>
          <w:rFonts w:hAnsi="仿宋_GB2312" w:eastAsia="仿宋_GB2312" w:cs="仿宋_GB2312"/>
          <w:color w:val="000000" w:themeColor="text1"/>
          <w:sz w:val="32"/>
          <w:szCs w:val="32"/>
          <w:shd w:val="clear" w:color="auto" w:fill="FFFFFF"/>
          <w14:textFill>
            <w14:solidFill>
              <w14:schemeClr w14:val="tx1"/>
            </w14:solidFill>
          </w14:textFill>
        </w:rPr>
      </w:pPr>
      <w:r>
        <w:rPr>
          <w:rFonts w:hint="eastAsia" w:ascii="黑体" w:hAnsi="黑体" w:eastAsia="黑体"/>
          <w:sz w:val="32"/>
          <w:szCs w:val="32"/>
        </w:rPr>
        <w:t>3、强化企业精准服务。</w:t>
      </w:r>
      <w:r>
        <w:rPr>
          <w:rFonts w:hint="eastAsia" w:hAnsi="仿宋_GB2312" w:eastAsia="仿宋_GB2312" w:cs="仿宋_GB2312"/>
          <w:color w:val="000000" w:themeColor="text1"/>
          <w:sz w:val="32"/>
          <w:szCs w:val="32"/>
          <w:shd w:val="clear" w:color="auto" w:fill="FFFFFF"/>
          <w14:textFill>
            <w14:solidFill>
              <w14:schemeClr w14:val="tx1"/>
            </w14:solidFill>
          </w14:textFill>
        </w:rPr>
        <w:t>完善全链条上市支持服务，着力破解企业“不想上市”“不敢上市”“不能上市”的问题。</w:t>
      </w:r>
      <w:r>
        <w:rPr>
          <w:rFonts w:hint="eastAsia" w:ascii="黑体" w:hAnsi="黑体" w:eastAsia="黑体" w:cs="仿宋_GB2312"/>
          <w:bCs/>
          <w:color w:val="000000" w:themeColor="text1"/>
          <w:sz w:val="32"/>
          <w:szCs w:val="32"/>
          <w:shd w:val="clear" w:color="auto" w:fill="FFFFFF"/>
          <w14:textFill>
            <w14:solidFill>
              <w14:schemeClr w14:val="tx1"/>
            </w14:solidFill>
          </w14:textFill>
        </w:rPr>
        <w:t>一是</w:t>
      </w:r>
      <w:r>
        <w:rPr>
          <w:rFonts w:hint="eastAsia" w:hAnsi="仿宋_GB2312" w:eastAsia="仿宋_GB2312" w:cs="仿宋_GB2312"/>
          <w:sz w:val="32"/>
          <w:szCs w:val="32"/>
        </w:rPr>
        <w:t>建立企业股改上市培育清单，</w:t>
      </w:r>
      <w:r>
        <w:rPr>
          <w:rFonts w:hint="eastAsia" w:hAnsi="仿宋_GB2312" w:eastAsia="仿宋_GB2312" w:cs="仿宋_GB2312"/>
          <w:color w:val="000000" w:themeColor="text1"/>
          <w:sz w:val="32"/>
          <w:szCs w:val="32"/>
          <w:shd w:val="clear" w:color="auto" w:fill="FFFFFF"/>
          <w14:textFill>
            <w14:solidFill>
              <w14:schemeClr w14:val="tx1"/>
            </w14:solidFill>
          </w14:textFill>
        </w:rPr>
        <w:t>以“一企一策、一事一议”的方式，全力破解各类历史遗留问题以及上市难题，推动人才、技术、土地等资源要素向优质企业集聚，为企业走向资本市场扶上马、送一程。</w:t>
      </w:r>
      <w:r>
        <w:rPr>
          <w:rFonts w:hint="eastAsia" w:ascii="黑体" w:hAnsi="黑体" w:eastAsia="黑体" w:cs="仿宋_GB2312"/>
          <w:bCs/>
          <w:color w:val="000000" w:themeColor="text1"/>
          <w:sz w:val="32"/>
          <w:szCs w:val="32"/>
          <w:shd w:val="clear" w:color="auto" w:fill="FFFFFF"/>
          <w14:textFill>
            <w14:solidFill>
              <w14:schemeClr w14:val="tx1"/>
            </w14:solidFill>
          </w14:textFill>
        </w:rPr>
        <w:t>二是</w:t>
      </w:r>
      <w:r>
        <w:rPr>
          <w:rFonts w:hint="eastAsia" w:hAnsi="仿宋_GB2312" w:eastAsia="仿宋_GB2312" w:cs="仿宋_GB2312"/>
          <w:color w:val="000000" w:themeColor="text1"/>
          <w:sz w:val="32"/>
          <w:szCs w:val="32"/>
          <w:shd w:val="clear" w:color="auto" w:fill="FFFFFF"/>
          <w14:textFill>
            <w14:solidFill>
              <w14:schemeClr w14:val="tx1"/>
            </w14:solidFill>
          </w14:textFill>
        </w:rPr>
        <w:t>鼓励驻永证券公司机构提升资本市场服务业务能力，积极对接总部资源，导入风投、会计、法律、财务等高端服务，为上市企业融资规划、战略规划提供支撑。</w:t>
      </w:r>
      <w:r>
        <w:rPr>
          <w:rFonts w:hint="eastAsia" w:ascii="黑体" w:hAnsi="黑体" w:eastAsia="黑体" w:cs="仿宋_GB2312"/>
          <w:bCs/>
          <w:color w:val="000000" w:themeColor="text1"/>
          <w:sz w:val="32"/>
          <w:szCs w:val="32"/>
          <w:shd w:val="clear" w:color="auto" w:fill="FFFFFF"/>
          <w14:textFill>
            <w14:solidFill>
              <w14:schemeClr w14:val="tx1"/>
            </w14:solidFill>
          </w14:textFill>
        </w:rPr>
        <w:t>三是</w:t>
      </w:r>
      <w:r>
        <w:rPr>
          <w:rFonts w:hint="eastAsia" w:hAnsi="仿宋_GB2312" w:eastAsia="仿宋_GB2312" w:cs="仿宋_GB2312"/>
          <w:color w:val="000000" w:themeColor="text1"/>
          <w:sz w:val="32"/>
          <w:szCs w:val="32"/>
          <w:shd w:val="clear" w:color="auto" w:fill="FFFFFF"/>
          <w14:textFill>
            <w14:solidFill>
              <w14:schemeClr w14:val="tx1"/>
            </w14:solidFill>
          </w14:textFill>
        </w:rPr>
        <w:t>鼓励设立永嘉天使投资引导基金，作为政府战略性、政策性基金，针对数字经济核心制造业、智能装备产业、健康产业战略性新兴产业，以及人工智能、区块链、新能源、前沿新材料等领域的未来产业，助力种子期、初创期企业发展。</w:t>
      </w:r>
    </w:p>
    <w:p>
      <w:pPr>
        <w:pStyle w:val="5"/>
        <w:spacing w:before="0" w:after="0" w:line="360" w:lineRule="auto"/>
        <w:ind w:firstLine="643" w:firstLineChars="200"/>
        <w:rPr>
          <w:rFonts w:ascii="黑体" w:hAnsi="黑体" w:eastAsia="黑体"/>
        </w:rPr>
      </w:pPr>
      <w:bookmarkStart w:id="20" w:name="_Toc63166579"/>
      <w:r>
        <w:rPr>
          <w:rFonts w:hint="eastAsia" w:ascii="黑体" w:hAnsi="黑体" w:eastAsia="黑体"/>
        </w:rPr>
        <w:t>（六）实施保险深化工程</w:t>
      </w:r>
      <w:bookmarkEnd w:id="20"/>
    </w:p>
    <w:p>
      <w:pPr>
        <w:spacing w:line="360" w:lineRule="auto"/>
        <w:ind w:firstLine="640" w:firstLineChars="200"/>
        <w:rPr>
          <w:rFonts w:eastAsia="仿宋_GB2312"/>
          <w:sz w:val="32"/>
          <w:szCs w:val="32"/>
        </w:rPr>
      </w:pPr>
      <w:r>
        <w:rPr>
          <w:rFonts w:hint="eastAsia" w:eastAsia="仿宋_GB2312"/>
          <w:sz w:val="32"/>
          <w:szCs w:val="32"/>
        </w:rPr>
        <w:t>对标人民群众期盼和经济社会发展需要，挖掘保险服务深度，加强保险服务高质量发展能力。</w:t>
      </w:r>
    </w:p>
    <w:p>
      <w:pPr>
        <w:pStyle w:val="10"/>
        <w:spacing w:line="360" w:lineRule="auto"/>
        <w:ind w:firstLine="624"/>
        <w:rPr>
          <w:rFonts w:eastAsia="仿宋_GB2312"/>
          <w:sz w:val="32"/>
          <w:szCs w:val="32"/>
          <w:u w:val="single"/>
        </w:rPr>
      </w:pPr>
      <w:r>
        <w:rPr>
          <w:rFonts w:hint="eastAsia" w:ascii="黑体" w:hAnsi="黑体" w:eastAsia="黑体" w:cs="黑体"/>
          <w:spacing w:val="-4"/>
          <w:sz w:val="32"/>
          <w:szCs w:val="32"/>
        </w:rPr>
        <w:t>1、加快农业保险创新。</w:t>
      </w:r>
      <w:r>
        <w:rPr>
          <w:rFonts w:hint="eastAsia" w:eastAsia="仿宋_GB2312"/>
          <w:sz w:val="32"/>
          <w:szCs w:val="32"/>
        </w:rPr>
        <w:t>持续推进农业保险“提标、扩面、增品”工作，助力乡村振兴战略。构筑护航农业高质量发展风险保障网，重点支持推出符合地方需求、与现代农业产业、“一村一品、一镇一业”发展需求相适应的特色险种，推动农业保险由灾后补偿向灾前预防、由保成本向保收入、由保生产环节向保全产业链、由保险保障向综合金融服务转型升级。</w:t>
      </w:r>
    </w:p>
    <w:p>
      <w:pPr>
        <w:pStyle w:val="42"/>
        <w:spacing w:line="360" w:lineRule="auto"/>
        <w:ind w:firstLine="624"/>
        <w:rPr>
          <w:rFonts w:eastAsia="仿宋_GB2312"/>
          <w:sz w:val="32"/>
          <w:szCs w:val="32"/>
        </w:rPr>
      </w:pPr>
      <w:r>
        <w:rPr>
          <w:rFonts w:hint="eastAsia" w:ascii="黑体" w:hAnsi="黑体" w:eastAsia="黑体" w:cs="黑体"/>
          <w:spacing w:val="-4"/>
          <w:sz w:val="32"/>
          <w:szCs w:val="32"/>
        </w:rPr>
        <w:t>2、推动科技保险发展。</w:t>
      </w:r>
      <w:r>
        <w:rPr>
          <w:rFonts w:hint="eastAsia" w:eastAsia="仿宋_GB2312"/>
          <w:sz w:val="32"/>
          <w:szCs w:val="32"/>
        </w:rPr>
        <w:t>支持保险机构研发推出符合科技创新企业需求的保险产品，</w:t>
      </w:r>
      <w:r>
        <w:rPr>
          <w:rFonts w:hint="eastAsia" w:ascii="黑体" w:hAnsi="黑体" w:eastAsia="黑体"/>
          <w:bCs/>
          <w:sz w:val="32"/>
          <w:szCs w:val="32"/>
        </w:rPr>
        <w:t>一是</w:t>
      </w:r>
      <w:r>
        <w:rPr>
          <w:rFonts w:hint="eastAsia" w:eastAsia="仿宋_GB2312"/>
          <w:sz w:val="32"/>
          <w:szCs w:val="32"/>
        </w:rPr>
        <w:t>支持保险机构加强与商业银行合作，发展科技型中小企业知识产权质押融资保险、小额贷款保证保险、贷款担保责任保险、出口信用保险等融资类科技保险产品。</w:t>
      </w:r>
      <w:r>
        <w:rPr>
          <w:rFonts w:hint="eastAsia" w:ascii="黑体" w:hAnsi="黑体" w:eastAsia="黑体"/>
          <w:bCs/>
          <w:sz w:val="32"/>
          <w:szCs w:val="32"/>
        </w:rPr>
        <w:t>二是</w:t>
      </w:r>
      <w:r>
        <w:rPr>
          <w:rFonts w:hint="eastAsia" w:eastAsia="仿宋_GB2312"/>
          <w:sz w:val="32"/>
          <w:szCs w:val="32"/>
        </w:rPr>
        <w:t>大力推广高层次人才企业创业支持保险，降低创业风险成本，推行新材料首批次应用保险、首台（套）产品保险、关键研发设备保险、产品研发责任保险、研发中断保险等新型保险产品，提高保险资金权益类资产投资比例。</w:t>
      </w:r>
      <w:r>
        <w:rPr>
          <w:rFonts w:hint="eastAsia" w:ascii="黑体" w:hAnsi="黑体" w:eastAsia="黑体"/>
          <w:bCs/>
          <w:sz w:val="32"/>
          <w:szCs w:val="32"/>
        </w:rPr>
        <w:t>三是</w:t>
      </w:r>
      <w:r>
        <w:rPr>
          <w:rFonts w:hint="eastAsia" w:eastAsia="仿宋_GB2312"/>
          <w:sz w:val="32"/>
          <w:szCs w:val="32"/>
        </w:rPr>
        <w:t>推动保险机构深入开展专利保险业务，探索开发科技成果研发费用保险，建立科技保险补贴险种清单，对符合科技保险补贴险种进行保费补贴。</w:t>
      </w:r>
    </w:p>
    <w:p>
      <w:pPr>
        <w:pStyle w:val="42"/>
        <w:spacing w:line="360" w:lineRule="auto"/>
        <w:ind w:firstLine="624"/>
        <w:rPr>
          <w:rFonts w:eastAsia="仿宋_GB2312"/>
          <w:sz w:val="32"/>
          <w:szCs w:val="32"/>
        </w:rPr>
      </w:pPr>
      <w:r>
        <w:rPr>
          <w:rFonts w:hint="eastAsia" w:ascii="黑体" w:hAnsi="黑体" w:eastAsia="黑体" w:cs="黑体"/>
          <w:spacing w:val="-4"/>
          <w:sz w:val="32"/>
          <w:szCs w:val="32"/>
        </w:rPr>
        <w:t>3、壮大文体旅保险市场。一是</w:t>
      </w:r>
      <w:r>
        <w:rPr>
          <w:rFonts w:hint="eastAsia" w:eastAsia="仿宋_GB2312"/>
          <w:sz w:val="32"/>
          <w:szCs w:val="32"/>
        </w:rPr>
        <w:t>以风险社会化分散为根本，做好夜间系列文娱项目财产保险等文体</w:t>
      </w:r>
      <w:r>
        <w:rPr>
          <w:rFonts w:hint="eastAsia" w:eastAsia="仿宋_GB2312"/>
          <w:sz w:val="32"/>
          <w:szCs w:val="32"/>
          <w:lang w:val="en-US" w:eastAsia="zh-CN"/>
        </w:rPr>
        <w:t>旅</w:t>
      </w:r>
      <w:r>
        <w:rPr>
          <w:rFonts w:hint="eastAsia" w:eastAsia="仿宋_GB2312"/>
          <w:sz w:val="32"/>
          <w:szCs w:val="32"/>
        </w:rPr>
        <w:t>产业保险产品的试点，扩大旅游社会责任保险、承运人责任险、会展责任险等的参保范围，积极开发适应文化旅游产业发展需求的保险产品。</w:t>
      </w:r>
      <w:r>
        <w:rPr>
          <w:rFonts w:hint="eastAsia" w:ascii="黑体" w:hAnsi="黑体" w:eastAsia="黑体" w:cs="黑体"/>
          <w:spacing w:val="-4"/>
          <w:sz w:val="32"/>
          <w:szCs w:val="32"/>
        </w:rPr>
        <w:t>二是</w:t>
      </w:r>
      <w:r>
        <w:rPr>
          <w:rFonts w:hint="eastAsia" w:eastAsia="仿宋_GB2312"/>
          <w:sz w:val="32"/>
          <w:szCs w:val="32"/>
        </w:rPr>
        <w:t>发挥保险融资增信的功能。采取“银行+保险”模式，提供保费补贴、贴息和风险补偿支持，加强保险公司对文体旅企业的保险增信。</w:t>
      </w:r>
      <w:r>
        <w:rPr>
          <w:rFonts w:hint="eastAsia" w:ascii="黑体" w:hAnsi="黑体" w:eastAsia="黑体" w:cs="黑体"/>
          <w:spacing w:val="-4"/>
          <w:sz w:val="32"/>
          <w:szCs w:val="32"/>
        </w:rPr>
        <w:t>三是</w:t>
      </w:r>
      <w:r>
        <w:rPr>
          <w:rFonts w:hint="eastAsia" w:eastAsia="仿宋_GB2312"/>
          <w:sz w:val="32"/>
          <w:szCs w:val="32"/>
        </w:rPr>
        <w:t>成立文体旅产业互助保险基金。参考已有的行业小微企业互助基金、行业保险等，推动文旅体产业的风险管理机制，搭建“文体旅+科技+金融”风险管理生态体系，多方共同组建文体旅产业互助基金体系。</w:t>
      </w:r>
    </w:p>
    <w:p>
      <w:pPr>
        <w:pStyle w:val="4"/>
        <w:spacing w:before="0" w:beforeAutospacing="0" w:after="0" w:afterAutospacing="0" w:line="360" w:lineRule="auto"/>
        <w:ind w:firstLine="643" w:firstLineChars="200"/>
        <w:rPr>
          <w:rFonts w:ascii="黑体" w:hAnsi="黑体" w:eastAsia="黑体"/>
          <w:sz w:val="32"/>
          <w:szCs w:val="32"/>
        </w:rPr>
      </w:pPr>
      <w:bookmarkStart w:id="21" w:name="_Toc63166580"/>
      <w:r>
        <w:rPr>
          <w:rFonts w:hint="eastAsia" w:ascii="黑体" w:hAnsi="黑体" w:eastAsia="黑体"/>
          <w:sz w:val="32"/>
          <w:szCs w:val="32"/>
        </w:rPr>
        <w:t>五、坚持夯基固本，着力构建金融基础设施体系</w:t>
      </w:r>
      <w:bookmarkEnd w:id="21"/>
      <w:r>
        <w:rPr>
          <w:rFonts w:hint="eastAsia" w:ascii="黑体" w:hAnsi="黑体" w:eastAsia="黑体"/>
          <w:sz w:val="32"/>
          <w:szCs w:val="32"/>
        </w:rPr>
        <w:t xml:space="preserve"> </w:t>
      </w:r>
    </w:p>
    <w:p>
      <w:pPr>
        <w:pStyle w:val="42"/>
        <w:adjustRightInd w:val="0"/>
        <w:snapToGrid w:val="0"/>
        <w:spacing w:line="360" w:lineRule="auto"/>
        <w:ind w:firstLine="640"/>
        <w:rPr>
          <w:rFonts w:eastAsia="仿宋_GB2312"/>
          <w:sz w:val="32"/>
          <w:szCs w:val="32"/>
        </w:rPr>
      </w:pPr>
      <w:r>
        <w:rPr>
          <w:rFonts w:hint="eastAsia" w:eastAsia="仿宋_GB2312"/>
          <w:sz w:val="32"/>
          <w:szCs w:val="32"/>
        </w:rPr>
        <w:t>要面向高质量、现代化发展的要求，加快补短板强弱项，搭平台固根基，优生态造环境，全力降低金融业运行制度成本和社会成本，提高金融业发展的质量和效益。</w:t>
      </w:r>
    </w:p>
    <w:p>
      <w:pPr>
        <w:pStyle w:val="5"/>
        <w:spacing w:before="0" w:after="0" w:line="360" w:lineRule="auto"/>
        <w:ind w:firstLine="643" w:firstLineChars="200"/>
        <w:rPr>
          <w:rFonts w:ascii="黑体" w:hAnsi="黑体" w:eastAsia="黑体"/>
        </w:rPr>
      </w:pPr>
      <w:bookmarkStart w:id="22" w:name="_Toc63166581"/>
      <w:r>
        <w:rPr>
          <w:rFonts w:hint="eastAsia" w:ascii="黑体" w:hAnsi="黑体" w:eastAsia="黑体"/>
        </w:rPr>
        <w:t>（一）打造一流信用生态</w:t>
      </w:r>
      <w:bookmarkEnd w:id="22"/>
    </w:p>
    <w:p>
      <w:pPr>
        <w:adjustRightInd w:val="0"/>
        <w:snapToGrid w:val="0"/>
        <w:spacing w:line="360" w:lineRule="auto"/>
        <w:ind w:firstLine="640" w:firstLineChars="200"/>
        <w:rPr>
          <w:rFonts w:hAnsi="仿宋_GB2312" w:eastAsia="仿宋_GB2312" w:cs="仿宋_GB2312"/>
          <w:sz w:val="32"/>
          <w:szCs w:val="32"/>
        </w:rPr>
      </w:pPr>
      <w:r>
        <w:rPr>
          <w:rFonts w:hint="eastAsia" w:hAnsi="仿宋_GB2312" w:eastAsia="仿宋_GB2312" w:cs="仿宋_GB2312"/>
          <w:sz w:val="32"/>
          <w:szCs w:val="32"/>
        </w:rPr>
        <w:t>把建设良好信用生态作为金融高质量发展的关键举措，从信用文化、信用体系、信用制度等多层次构建良好环境，夯实金融业高质量发展的社会信用基础。</w:t>
      </w:r>
    </w:p>
    <w:p>
      <w:pPr>
        <w:pStyle w:val="10"/>
        <w:spacing w:line="360" w:lineRule="auto"/>
        <w:ind w:firstLine="624"/>
        <w:rPr>
          <w:rFonts w:hAnsi="仿宋_GB2312" w:eastAsia="仿宋_GB2312" w:cs="仿宋_GB2312"/>
          <w:sz w:val="32"/>
          <w:szCs w:val="32"/>
        </w:rPr>
      </w:pPr>
      <w:r>
        <w:rPr>
          <w:rFonts w:hint="eastAsia" w:ascii="黑体" w:hAnsi="黑体" w:eastAsia="黑体" w:cs="仿宋_GB2312"/>
          <w:bCs/>
          <w:spacing w:val="-4"/>
          <w:sz w:val="32"/>
          <w:szCs w:val="32"/>
        </w:rPr>
        <w:t>1、深化社会信用建设。</w:t>
      </w:r>
      <w:r>
        <w:rPr>
          <w:rFonts w:hint="eastAsia" w:hAnsi="仿宋_GB2312" w:eastAsia="仿宋_GB2312" w:cs="仿宋_GB2312"/>
          <w:sz w:val="32"/>
          <w:szCs w:val="32"/>
        </w:rPr>
        <w:t>落实省信用建设“531X”工程，多方位多层次加快推进政府信用、司法信用、企业信用建设，打造“信用永嘉”。加快完善信用信息征集、共享使用的有效机制，</w:t>
      </w:r>
      <w:r>
        <w:rPr>
          <w:rFonts w:hAnsi="仿宋_GB2312" w:eastAsia="仿宋_GB2312" w:cs="仿宋_GB2312"/>
          <w:sz w:val="32"/>
          <w:szCs w:val="32"/>
        </w:rPr>
        <w:t>从企业、个人、政府、事业单位和社会组织等三大重点领域拓宽信用信息征集范围，</w:t>
      </w:r>
      <w:r>
        <w:rPr>
          <w:rFonts w:hint="eastAsia" w:hAnsi="仿宋_GB2312" w:eastAsia="仿宋_GB2312" w:cs="仿宋_GB2312"/>
          <w:sz w:val="32"/>
          <w:szCs w:val="32"/>
        </w:rPr>
        <w:t>做好企业、个人信用信息价值转换。深化信用镇、信用村、信用户建设，支持金融机构用好信用建设成果，深度挖掘农村信用价值。</w:t>
      </w:r>
    </w:p>
    <w:p>
      <w:pPr>
        <w:adjustRightInd w:val="0"/>
        <w:snapToGrid w:val="0"/>
        <w:spacing w:line="360" w:lineRule="auto"/>
        <w:ind w:firstLine="624" w:firstLineChars="200"/>
        <w:rPr>
          <w:rFonts w:hAnsi="仿宋_GB2312" w:eastAsia="仿宋_GB2312" w:cs="仿宋_GB2312"/>
          <w:sz w:val="32"/>
          <w:szCs w:val="32"/>
        </w:rPr>
      </w:pPr>
      <w:r>
        <w:rPr>
          <w:rFonts w:hint="eastAsia" w:ascii="黑体" w:hAnsi="黑体" w:eastAsia="黑体" w:cs="仿宋_GB2312"/>
          <w:bCs/>
          <w:spacing w:val="-4"/>
          <w:sz w:val="32"/>
          <w:szCs w:val="32"/>
        </w:rPr>
        <w:t>2、探索园区信用建设。</w:t>
      </w:r>
      <w:r>
        <w:rPr>
          <w:rFonts w:hint="eastAsia" w:hAnsi="仿宋_GB2312" w:eastAsia="仿宋_GB2312" w:cs="仿宋_GB2312"/>
          <w:sz w:val="32"/>
          <w:szCs w:val="32"/>
        </w:rPr>
        <w:t>探索小微园信用服务建设新模式，结合公共信用评价信息和园区日常管理信息对园区企业进行综合信用评价，将信用评价结果作为企业分级分类监管的重要依据。创新园区企业信用贷款模式，利用信用大数据实现“园区+信用+金融”有效结合，支持金融机构针对园区企业信用状况开发各类信贷产品，降低园区企业融资难度和成本，释放园区信用活力。</w:t>
      </w:r>
    </w:p>
    <w:p>
      <w:pPr>
        <w:adjustRightInd w:val="0"/>
        <w:snapToGrid w:val="0"/>
        <w:spacing w:line="360" w:lineRule="auto"/>
        <w:ind w:firstLine="624" w:firstLineChars="200"/>
        <w:rPr>
          <w:rFonts w:hAnsi="仿宋_GB2312" w:eastAsia="仿宋_GB2312" w:cs="仿宋_GB2312"/>
          <w:sz w:val="32"/>
          <w:szCs w:val="32"/>
        </w:rPr>
      </w:pPr>
      <w:r>
        <w:rPr>
          <w:rFonts w:hint="eastAsia" w:ascii="黑体" w:hAnsi="黑体" w:eastAsia="黑体" w:cs="仿宋_GB2312"/>
          <w:bCs/>
          <w:spacing w:val="-4"/>
          <w:sz w:val="32"/>
          <w:szCs w:val="32"/>
        </w:rPr>
        <w:t>3、强化信用激励约束。</w:t>
      </w:r>
      <w:r>
        <w:rPr>
          <w:rFonts w:hint="eastAsia" w:hAnsi="仿宋_GB2312" w:eastAsia="仿宋_GB2312" w:cs="仿宋_GB2312"/>
          <w:sz w:val="32"/>
          <w:szCs w:val="32"/>
        </w:rPr>
        <w:t>定期更新并向社会公开信用联合奖惩名单，形成行政性、市场性和行业性等奖惩措施多管齐下、社会力量广泛参与的联合奖惩大格局。对守信主体，在审批审核、贷款融资、资金扶持、评先评优等方面，实施</w:t>
      </w:r>
      <w:r>
        <w:rPr>
          <w:rFonts w:hint="eastAsia" w:eastAsia="仿宋_GB2312"/>
          <w:sz w:val="32"/>
          <w:szCs w:val="32"/>
        </w:rPr>
        <w:t>优先办理、简化程序、绿色通道和重点支持等</w:t>
      </w:r>
      <w:r>
        <w:rPr>
          <w:rFonts w:hint="eastAsia" w:hAnsi="仿宋_GB2312" w:eastAsia="仿宋_GB2312" w:cs="仿宋_GB2312"/>
          <w:sz w:val="32"/>
          <w:szCs w:val="32"/>
        </w:rPr>
        <w:t>激励性措施。对于失信主体特别是列入严重失信名单的，依法依规实施惩戒力度大、监管效果好的失信惩戒措施，加快构建跨地区、跨行业、跨领域的失信联合惩戒机制。</w:t>
      </w:r>
    </w:p>
    <w:p>
      <w:pPr>
        <w:pStyle w:val="5"/>
        <w:spacing w:before="0" w:after="0" w:line="360" w:lineRule="auto"/>
        <w:ind w:firstLine="643" w:firstLineChars="200"/>
        <w:rPr>
          <w:rFonts w:ascii="黑体" w:hAnsi="黑体" w:eastAsia="黑体"/>
        </w:rPr>
      </w:pPr>
      <w:bookmarkStart w:id="23" w:name="_Toc63166582"/>
      <w:r>
        <w:rPr>
          <w:rFonts w:hint="eastAsia" w:ascii="黑体" w:hAnsi="黑体" w:eastAsia="黑体"/>
        </w:rPr>
        <w:t>（二）构建普惠担保机制</w:t>
      </w:r>
      <w:bookmarkEnd w:id="23"/>
    </w:p>
    <w:p>
      <w:pPr>
        <w:spacing w:line="360" w:lineRule="auto"/>
        <w:ind w:firstLine="640" w:firstLineChars="200"/>
        <w:rPr>
          <w:rFonts w:hAnsi="仿宋_GB2312" w:eastAsia="仿宋_GB2312" w:cs="仿宋_GB2312"/>
          <w:sz w:val="32"/>
          <w:szCs w:val="32"/>
        </w:rPr>
      </w:pPr>
      <w:r>
        <w:rPr>
          <w:rFonts w:hint="eastAsia" w:hAnsi="仿宋_GB2312" w:eastAsia="仿宋_GB2312" w:cs="仿宋_GB2312"/>
          <w:sz w:val="32"/>
          <w:szCs w:val="32"/>
        </w:rPr>
        <w:t>完善并推广“银企保”模式，健全融资担保业务风险补偿分散机制，实现银保联动发展、共同发展。</w:t>
      </w:r>
    </w:p>
    <w:p>
      <w:pPr>
        <w:spacing w:line="360" w:lineRule="auto"/>
        <w:ind w:firstLine="624" w:firstLineChars="200"/>
        <w:rPr>
          <w:rFonts w:hAnsi="仿宋_GB2312" w:eastAsia="仿宋_GB2312" w:cs="仿宋_GB2312"/>
          <w:sz w:val="32"/>
          <w:szCs w:val="32"/>
        </w:rPr>
      </w:pPr>
      <w:r>
        <w:rPr>
          <w:rFonts w:hint="eastAsia" w:ascii="黑体" w:hAnsi="黑体" w:eastAsia="黑体" w:cs="仿宋_GB2312"/>
          <w:bCs/>
          <w:spacing w:val="-4"/>
          <w:sz w:val="32"/>
          <w:szCs w:val="32"/>
        </w:rPr>
        <w:t>1、提升担保综合能力。</w:t>
      </w:r>
      <w:r>
        <w:rPr>
          <w:rFonts w:hint="eastAsia" w:hAnsi="仿宋_GB2312" w:eastAsia="仿宋_GB2312" w:cs="仿宋_GB2312"/>
          <w:sz w:val="32"/>
          <w:szCs w:val="32"/>
        </w:rPr>
        <w:t>加强与省担保集团、温州中小企业信保基金对接合作，发展壮大政策性融资担保机构，探索建立县域小微企业信保基金，吸纳、鼓励民间资本参与担保行业发展，完善“银企保”协作互动机制，健全</w:t>
      </w:r>
      <w:r>
        <w:rPr>
          <w:rFonts w:hint="eastAsia" w:hAnsi="仿宋_GB2312" w:eastAsia="仿宋_GB2312" w:cs="仿宋_GB2312"/>
          <w:color w:val="000000"/>
          <w:sz w:val="32"/>
          <w:szCs w:val="32"/>
        </w:rPr>
        <w:t>县域政策性融资担保体系</w:t>
      </w:r>
      <w:r>
        <w:rPr>
          <w:rFonts w:hint="eastAsia" w:hAnsi="仿宋_GB2312" w:eastAsia="仿宋_GB2312" w:cs="仿宋_GB2312"/>
          <w:sz w:val="32"/>
          <w:szCs w:val="32"/>
        </w:rPr>
        <w:t>。</w:t>
      </w:r>
    </w:p>
    <w:p>
      <w:pPr>
        <w:spacing w:line="360" w:lineRule="auto"/>
        <w:ind w:firstLine="624" w:firstLineChars="200"/>
        <w:rPr>
          <w:rFonts w:hAnsi="仿宋_GB2312" w:eastAsia="仿宋_GB2312" w:cs="仿宋_GB2312"/>
          <w:spacing w:val="-4"/>
          <w:sz w:val="32"/>
          <w:szCs w:val="32"/>
        </w:rPr>
      </w:pPr>
      <w:r>
        <w:rPr>
          <w:rFonts w:hint="eastAsia" w:ascii="黑体" w:hAnsi="黑体" w:eastAsia="黑体" w:cs="仿宋_GB2312"/>
          <w:bCs/>
          <w:spacing w:val="-4"/>
          <w:sz w:val="32"/>
          <w:szCs w:val="32"/>
        </w:rPr>
        <w:t>2、创新拓展担保业务。</w:t>
      </w:r>
      <w:r>
        <w:rPr>
          <w:rFonts w:hint="eastAsia" w:hAnsi="仿宋_GB2312" w:eastAsia="仿宋_GB2312" w:cs="仿宋_GB2312"/>
          <w:sz w:val="32"/>
          <w:szCs w:val="32"/>
        </w:rPr>
        <w:t>创新担保产品服务和方式模式，运用数字化手段，开发适合“首贷户”、知识产权质押融资、应收账款融资、中长期研发融资等担保产品。引入第三方征信平台，积极探</w:t>
      </w:r>
      <w:r>
        <w:rPr>
          <w:rFonts w:hint="eastAsia" w:hAnsi="仿宋_GB2312" w:eastAsia="仿宋_GB2312" w:cs="仿宋_GB2312"/>
          <w:spacing w:val="-4"/>
          <w:sz w:val="32"/>
          <w:szCs w:val="32"/>
        </w:rPr>
        <w:t>索土地承包经营权反担保、“承包经营权+信托”等担保方式。依托产业链核心经营主体、行业协会等，积极推广“信贷+保险”“行业协会+中小企业”、供应链担保增信等担保贷款方式。</w:t>
      </w:r>
    </w:p>
    <w:p>
      <w:pPr>
        <w:spacing w:line="360" w:lineRule="auto"/>
        <w:ind w:firstLine="624" w:firstLineChars="200"/>
        <w:rPr>
          <w:rFonts w:hAnsi="仿宋_GB2312" w:eastAsia="仿宋_GB2312" w:cs="仿宋_GB2312"/>
          <w:sz w:val="32"/>
          <w:szCs w:val="32"/>
        </w:rPr>
      </w:pPr>
      <w:r>
        <w:rPr>
          <w:rFonts w:hint="eastAsia" w:ascii="黑体" w:hAnsi="黑体" w:eastAsia="黑体" w:cs="仿宋_GB2312"/>
          <w:bCs/>
          <w:spacing w:val="-4"/>
          <w:sz w:val="32"/>
          <w:szCs w:val="32"/>
        </w:rPr>
        <w:t>3、完善风险防控机制。</w:t>
      </w:r>
      <w:r>
        <w:rPr>
          <w:rFonts w:hint="eastAsia" w:hAnsi="仿宋_GB2312" w:eastAsia="仿宋_GB2312" w:cs="仿宋_GB2312"/>
          <w:sz w:val="32"/>
          <w:szCs w:val="32"/>
        </w:rPr>
        <w:t>探索建立政策性担保机构与省、市担保机构的业务合作和风险分担机制，完善财政支持融资担保和风险补偿的激励机制，助推担保拓展业务覆盖面。推动担保机构优化公司治理结构，建立健全内部控制制度，加强风险管理体系建设，实现专业化、精细化管理。积极对接浙商、光大金瓯等资产管理公司，探索建立不良资产合规快捷的处置机制，加快推进“腾笼换鸟、凤凰涅槃”。</w:t>
      </w:r>
    </w:p>
    <w:p>
      <w:pPr>
        <w:pStyle w:val="5"/>
        <w:spacing w:before="0" w:after="0" w:line="360" w:lineRule="auto"/>
        <w:ind w:firstLine="643" w:firstLineChars="200"/>
        <w:rPr>
          <w:rFonts w:ascii="黑体" w:hAnsi="黑体" w:eastAsia="黑体"/>
        </w:rPr>
      </w:pPr>
      <w:bookmarkStart w:id="24" w:name="_Toc63166583"/>
      <w:r>
        <w:rPr>
          <w:rFonts w:hint="eastAsia" w:ascii="黑体" w:hAnsi="黑体" w:eastAsia="黑体"/>
        </w:rPr>
        <w:t>（三)加强金融文化教育</w:t>
      </w:r>
      <w:bookmarkEnd w:id="24"/>
    </w:p>
    <w:p>
      <w:pPr>
        <w:pStyle w:val="24"/>
        <w:widowControl/>
        <w:shd w:val="clear" w:color="auto" w:fill="FFFFFF"/>
        <w:spacing w:beforeAutospacing="0" w:afterAutospacing="0" w:line="360" w:lineRule="auto"/>
        <w:ind w:firstLine="624" w:firstLineChars="200"/>
        <w:jc w:val="both"/>
        <w:rPr>
          <w:rFonts w:hAnsi="仿宋_GB2312" w:eastAsia="仿宋_GB2312" w:cs="仿宋_GB2312"/>
          <w:spacing w:val="-4"/>
          <w:kern w:val="2"/>
          <w:sz w:val="32"/>
          <w:szCs w:val="32"/>
        </w:rPr>
      </w:pPr>
      <w:r>
        <w:rPr>
          <w:rFonts w:hint="eastAsia" w:hAnsi="仿宋_GB2312" w:eastAsia="仿宋_GB2312" w:cs="仿宋_GB2312"/>
          <w:spacing w:val="-4"/>
          <w:kern w:val="2"/>
          <w:sz w:val="32"/>
          <w:szCs w:val="32"/>
        </w:rPr>
        <w:t>树立清正廉洁、诚实守信的行业文化，做好投资者教育，提升群众金融理财素养，构建完整的长期、健康的金融投资生态圈。</w:t>
      </w:r>
    </w:p>
    <w:p>
      <w:pPr>
        <w:pStyle w:val="24"/>
        <w:widowControl/>
        <w:shd w:val="clear" w:color="auto" w:fill="FFFFFF"/>
        <w:spacing w:before="75" w:beforeAutospacing="0" w:afterAutospacing="0" w:line="360" w:lineRule="auto"/>
        <w:ind w:right="120" w:firstLine="624" w:firstLineChars="200"/>
        <w:jc w:val="both"/>
        <w:rPr>
          <w:rFonts w:hAnsi="Times New Roman" w:eastAsia="仿宋_GB2312"/>
          <w:spacing w:val="-4"/>
          <w:sz w:val="32"/>
          <w:szCs w:val="32"/>
        </w:rPr>
      </w:pPr>
      <w:r>
        <w:rPr>
          <w:rFonts w:hint="eastAsia" w:ascii="黑体" w:hAnsi="黑体" w:eastAsia="黑体" w:cs="仿宋_GB2312"/>
          <w:bCs/>
          <w:spacing w:val="-4"/>
          <w:kern w:val="2"/>
          <w:sz w:val="32"/>
          <w:szCs w:val="32"/>
        </w:rPr>
        <w:t>1、规范发展民间借贷。</w:t>
      </w:r>
      <w:r>
        <w:rPr>
          <w:rFonts w:hint="eastAsia" w:hAnsi="Times New Roman" w:eastAsia="仿宋_GB2312"/>
          <w:spacing w:val="-4"/>
          <w:sz w:val="32"/>
          <w:szCs w:val="32"/>
        </w:rPr>
        <w:t>推动民间借贷阳光化、规范化、信息化发展，认真落实落细《温州民间融资管理条例》，出台行业风险补偿机制等扶持政策，推动民间借贷服务中心及民间融资对接行业依法经营。通过司法裁判、发送司法建议等方式，加强对民间借贷服务中心及中介机构的监督管理，防止非法集资、高息放贷、违规撮合等行为发生。</w:t>
      </w:r>
    </w:p>
    <w:p>
      <w:pPr>
        <w:pStyle w:val="24"/>
        <w:widowControl/>
        <w:shd w:val="clear" w:color="auto" w:fill="FFFFFF"/>
        <w:spacing w:before="75" w:beforeAutospacing="0" w:afterAutospacing="0" w:line="360" w:lineRule="auto"/>
        <w:ind w:right="120" w:firstLine="624" w:firstLineChars="200"/>
        <w:jc w:val="both"/>
        <w:rPr>
          <w:rFonts w:hAnsi="仿宋_GB2312" w:eastAsia="仿宋_GB2312" w:cs="仿宋_GB2312"/>
          <w:snapToGrid w:val="0"/>
          <w:spacing w:val="-4"/>
          <w:sz w:val="32"/>
          <w:szCs w:val="32"/>
        </w:rPr>
      </w:pPr>
      <w:r>
        <w:rPr>
          <w:rFonts w:hint="eastAsia" w:ascii="黑体" w:hAnsi="黑体" w:eastAsia="黑体" w:cs="仿宋_GB2312"/>
          <w:bCs/>
          <w:spacing w:val="-4"/>
          <w:kern w:val="2"/>
          <w:sz w:val="32"/>
          <w:szCs w:val="32"/>
        </w:rPr>
        <w:t>2、加强常态宣传教育。</w:t>
      </w:r>
      <w:r>
        <w:rPr>
          <w:rFonts w:hint="eastAsia" w:hAnsi="仿宋_GB2312" w:eastAsia="仿宋_GB2312" w:cs="仿宋_GB2312"/>
          <w:spacing w:val="-4"/>
          <w:kern w:val="2"/>
          <w:sz w:val="32"/>
          <w:szCs w:val="32"/>
        </w:rPr>
        <w:t>制定投资者教育计划方案，重视基础性学校金融教育，通过培训师资人员、编写教材资料、举办校园活动等方式深入持续开展金融教育。切实发挥金融机构作为投资者教育主力军、主阵地的作用，把投资者教育保护纳入经营发展战略，做好投教基地建设和运维。建立投资者教育的沟通协调机制，金融知识宣传和教育中协同采取行动。</w:t>
      </w:r>
      <w:r>
        <w:rPr>
          <w:rFonts w:hint="eastAsia" w:hAnsi="仿宋_GB2312" w:eastAsia="仿宋_GB2312" w:cs="仿宋_GB2312"/>
          <w:snapToGrid w:val="0"/>
          <w:spacing w:val="-4"/>
          <w:sz w:val="32"/>
          <w:szCs w:val="32"/>
        </w:rPr>
        <w:t>建立“金融法治+文化礼堂”等长效机制，扩增文化礼堂防范金融风险宣传教育点，提高金融消费者自我防范意识和能力，打造金融安全的法治环境。</w:t>
      </w:r>
    </w:p>
    <w:p>
      <w:pPr>
        <w:pStyle w:val="24"/>
        <w:widowControl/>
        <w:shd w:val="clear" w:color="auto" w:fill="FFFFFF"/>
        <w:spacing w:beforeAutospacing="0" w:afterAutospacing="0" w:line="360" w:lineRule="auto"/>
        <w:ind w:firstLine="624" w:firstLineChars="200"/>
        <w:jc w:val="both"/>
      </w:pPr>
      <w:r>
        <w:rPr>
          <w:rFonts w:hint="eastAsia" w:ascii="黑体" w:hAnsi="黑体" w:eastAsia="黑体" w:cs="仿宋_GB2312"/>
          <w:bCs/>
          <w:spacing w:val="-4"/>
          <w:kern w:val="2"/>
          <w:sz w:val="32"/>
          <w:szCs w:val="32"/>
        </w:rPr>
        <w:t>3、营造清廉文化氛围。</w:t>
      </w:r>
      <w:r>
        <w:rPr>
          <w:rFonts w:hint="eastAsia" w:hAnsi="仿宋_GB2312" w:eastAsia="仿宋_GB2312" w:cs="仿宋_GB2312"/>
          <w:spacing w:val="-4"/>
          <w:kern w:val="2"/>
          <w:sz w:val="32"/>
          <w:szCs w:val="32"/>
        </w:rPr>
        <w:t>持续向全行业、全社会传递廉洁价值理念，实现清廉金融教育宣传的常态化、生活场景化。建立健全推进清廉金融文化建设体制机制，明确目标愿景、责任体系、工作措施、实现途径等内容，把清廉金融与合规金融、诚信金融等相关文化建设有机统一。</w:t>
      </w:r>
    </w:p>
    <w:p>
      <w:pPr>
        <w:pStyle w:val="5"/>
        <w:spacing w:before="0" w:after="0" w:line="360" w:lineRule="auto"/>
        <w:ind w:firstLine="643" w:firstLineChars="200"/>
        <w:rPr>
          <w:rFonts w:ascii="黑体" w:hAnsi="黑体" w:eastAsia="黑体"/>
        </w:rPr>
      </w:pPr>
      <w:bookmarkStart w:id="25" w:name="_Toc63166584"/>
      <w:r>
        <w:rPr>
          <w:rFonts w:hint="eastAsia" w:ascii="黑体" w:hAnsi="黑体" w:eastAsia="黑体"/>
        </w:rPr>
        <w:t>（四）加快金融设施建设</w:t>
      </w:r>
      <w:bookmarkEnd w:id="25"/>
    </w:p>
    <w:p>
      <w:pPr>
        <w:pStyle w:val="10"/>
        <w:spacing w:line="360" w:lineRule="auto"/>
        <w:ind w:firstLine="624"/>
        <w:rPr>
          <w:rFonts w:hAnsi="仿宋_GB2312" w:eastAsia="仿宋_GB2312" w:cs="仿宋_GB2312"/>
          <w:spacing w:val="-4"/>
          <w:sz w:val="32"/>
          <w:szCs w:val="32"/>
        </w:rPr>
      </w:pPr>
      <w:r>
        <w:rPr>
          <w:rFonts w:hint="eastAsia" w:hAnsi="仿宋_GB2312" w:eastAsia="仿宋_GB2312" w:cs="仿宋_GB2312"/>
          <w:spacing w:val="-4"/>
          <w:sz w:val="32"/>
          <w:szCs w:val="32"/>
        </w:rPr>
        <w:t>坚持软件硬件并重，统筹推进数字基础设施、便民服务网点、公共服务平台建设，夯实金融发展的环境条件。</w:t>
      </w:r>
    </w:p>
    <w:p>
      <w:pPr>
        <w:pStyle w:val="10"/>
        <w:spacing w:line="360" w:lineRule="auto"/>
        <w:ind w:firstLine="624"/>
        <w:rPr>
          <w:rFonts w:hAnsi="Times New Roman" w:eastAsia="仿宋_GB2312"/>
          <w:sz w:val="32"/>
          <w:szCs w:val="32"/>
        </w:rPr>
      </w:pPr>
      <w:r>
        <w:rPr>
          <w:rFonts w:hint="eastAsia" w:ascii="黑体" w:hAnsi="黑体" w:eastAsia="黑体" w:cs="仿宋_GB2312"/>
          <w:bCs/>
          <w:spacing w:val="-4"/>
          <w:sz w:val="32"/>
          <w:szCs w:val="32"/>
        </w:rPr>
        <w:t>1、加快布局金融新基建。</w:t>
      </w:r>
      <w:r>
        <w:rPr>
          <w:rFonts w:hint="eastAsia" w:hAnsi="仿宋_GB2312" w:eastAsia="仿宋_GB2312" w:cs="仿宋_GB2312"/>
          <w:spacing w:val="-4"/>
          <w:sz w:val="32"/>
          <w:szCs w:val="32"/>
        </w:rPr>
        <w:t>加速建设布局5G网络、数据中心等新型基础设施，</w:t>
      </w:r>
      <w:r>
        <w:rPr>
          <w:rFonts w:hint="eastAsia" w:hAnsi="Times New Roman" w:eastAsia="仿宋_GB2312"/>
          <w:sz w:val="32"/>
          <w:szCs w:val="32"/>
        </w:rPr>
        <w:t>基础设施建设，支持金融机构开展智能化终端、设备技术升级等信息化工程，夯实金融高质量发展的数字底座，提升金融机构运用大数据、云计算、人工智能的能力和水平，提高金融服务效率效益。</w:t>
      </w:r>
    </w:p>
    <w:p>
      <w:pPr>
        <w:pStyle w:val="10"/>
        <w:spacing w:line="360" w:lineRule="auto"/>
        <w:ind w:firstLine="624"/>
        <w:rPr>
          <w:rFonts w:hAnsi="Times New Roman" w:eastAsia="仿宋_GB2312"/>
          <w:sz w:val="32"/>
          <w:szCs w:val="32"/>
        </w:rPr>
      </w:pPr>
      <w:r>
        <w:rPr>
          <w:rFonts w:hint="eastAsia" w:ascii="黑体" w:hAnsi="黑体" w:eastAsia="黑体" w:cs="仿宋_GB2312"/>
          <w:bCs/>
          <w:spacing w:val="-4"/>
          <w:sz w:val="32"/>
          <w:szCs w:val="32"/>
        </w:rPr>
        <w:t>2、完善金融网点布局。</w:t>
      </w:r>
      <w:r>
        <w:rPr>
          <w:rFonts w:hint="eastAsia" w:hAnsi="Times New Roman" w:eastAsia="仿宋_GB2312"/>
          <w:sz w:val="32"/>
          <w:szCs w:val="32"/>
        </w:rPr>
        <w:t>结合实施乡村振兴战略和产业布局战略，支持金融机构下层服务重心，推动涉农涉小金融机构完善县域物理网点布局，鼓励银行业金融机构在乡镇及中心村设立灵活性服务网点，综合利用ATM机、便民存取点、智慧支付等方式，扩大金融服务半径和覆盖人群。</w:t>
      </w:r>
    </w:p>
    <w:p>
      <w:pPr>
        <w:pStyle w:val="10"/>
        <w:spacing w:line="360" w:lineRule="auto"/>
        <w:ind w:firstLine="624"/>
        <w:rPr>
          <w:rFonts w:hAnsi="仿宋_GB2312" w:eastAsia="仿宋_GB2312" w:cs="仿宋_GB2312"/>
          <w:sz w:val="32"/>
          <w:szCs w:val="32"/>
        </w:rPr>
      </w:pPr>
      <w:r>
        <w:rPr>
          <w:rFonts w:hint="eastAsia" w:ascii="黑体" w:hAnsi="黑体" w:eastAsia="黑体" w:cs="仿宋_GB2312"/>
          <w:bCs/>
          <w:spacing w:val="-4"/>
          <w:sz w:val="32"/>
          <w:szCs w:val="32"/>
        </w:rPr>
        <w:t>3、搭建信用信息平台。</w:t>
      </w:r>
      <w:r>
        <w:rPr>
          <w:rFonts w:hint="eastAsia" w:hAnsi="仿宋_GB2312" w:eastAsia="仿宋_GB2312" w:cs="仿宋_GB2312"/>
          <w:sz w:val="32"/>
          <w:szCs w:val="32"/>
        </w:rPr>
        <w:t>完善县域信用信息公共服务平台，加大工商、税务、海关、市场监督、知识产权、用工用电等公共数据及司法舆情等信息整合共享，方便金融机构授权使用和价值挖掘，从制度上降低解决信用信息不对称问题。全面对接温州金融大脑，用好温州金融服务综合平台，落实“帮企云”数据接入，实现信用数据、信贷产品、推荐名单共享互通，搭建市场主体信用体系和金融服务产品超市。</w:t>
      </w:r>
    </w:p>
    <w:p>
      <w:pPr>
        <w:pStyle w:val="4"/>
        <w:spacing w:before="0" w:beforeAutospacing="0" w:after="0" w:afterAutospacing="0" w:line="360" w:lineRule="auto"/>
        <w:ind w:firstLine="643" w:firstLineChars="200"/>
        <w:rPr>
          <w:rFonts w:ascii="黑体" w:hAnsi="黑体" w:eastAsia="黑体"/>
          <w:sz w:val="32"/>
          <w:szCs w:val="32"/>
        </w:rPr>
      </w:pPr>
      <w:bookmarkStart w:id="26" w:name="_Toc63166585"/>
      <w:r>
        <w:rPr>
          <w:rFonts w:hint="eastAsia" w:ascii="黑体" w:hAnsi="黑体" w:eastAsia="黑体"/>
          <w:sz w:val="32"/>
          <w:szCs w:val="32"/>
        </w:rPr>
        <w:t>六、坚持整体智治，着力形成金融规划实施保障体系</w:t>
      </w:r>
      <w:bookmarkEnd w:id="26"/>
    </w:p>
    <w:p>
      <w:pPr>
        <w:pStyle w:val="5"/>
        <w:spacing w:before="0" w:after="0" w:line="360" w:lineRule="auto"/>
        <w:ind w:firstLine="640" w:firstLineChars="200"/>
        <w:rPr>
          <w:rFonts w:ascii="仿宋_GB2312" w:hAnsi="仿宋_GB2312" w:eastAsia="仿宋_GB2312" w:cs="仿宋_GB2312"/>
          <w:b w:val="0"/>
          <w:bCs w:val="0"/>
        </w:rPr>
      </w:pPr>
      <w:r>
        <w:rPr>
          <w:rFonts w:hint="eastAsia" w:ascii="仿宋_GB2312" w:hAnsi="仿宋_GB2312" w:eastAsia="仿宋_GB2312" w:cs="仿宋_GB2312"/>
          <w:b w:val="0"/>
          <w:bCs w:val="0"/>
        </w:rPr>
        <w:t>以数字化改革为统领，深化数字赋能，发扬“善作善成、唯实惟先”工作文化，强化政银企协同和政府横向纵向联动，推动数字应用场景落地见效，确保金融规划落实落细，转化为金融高质量发展的美好现实。</w:t>
      </w:r>
      <w:bookmarkStart w:id="27" w:name="_Toc63166586"/>
    </w:p>
    <w:p>
      <w:pPr>
        <w:pStyle w:val="5"/>
        <w:spacing w:before="0" w:after="0" w:line="360" w:lineRule="auto"/>
        <w:ind w:firstLine="643" w:firstLineChars="200"/>
        <w:rPr>
          <w:rFonts w:ascii="黑体" w:hAnsi="黑体" w:eastAsia="黑体"/>
        </w:rPr>
      </w:pPr>
      <w:r>
        <w:rPr>
          <w:rFonts w:hint="eastAsia" w:ascii="黑体" w:hAnsi="黑体" w:eastAsia="黑体"/>
        </w:rPr>
        <w:t>（一）加强党对金融工作的全面领导</w:t>
      </w:r>
      <w:bookmarkEnd w:id="27"/>
    </w:p>
    <w:p>
      <w:pPr>
        <w:spacing w:line="360" w:lineRule="auto"/>
        <w:ind w:firstLine="624" w:firstLineChars="200"/>
        <w:rPr>
          <w:rFonts w:hAnsi="仿宋_GB2312" w:eastAsia="仿宋_GB2312" w:cs="仿宋_GB2312"/>
          <w:sz w:val="32"/>
          <w:szCs w:val="32"/>
        </w:rPr>
      </w:pPr>
      <w:r>
        <w:rPr>
          <w:rFonts w:hint="eastAsia" w:ascii="Times New Roman" w:hAnsi="Times New Roman" w:eastAsia="仿宋_GB2312"/>
          <w:snapToGrid w:val="0"/>
          <w:spacing w:val="-4"/>
          <w:kern w:val="0"/>
          <w:sz w:val="32"/>
          <w:szCs w:val="32"/>
        </w:rPr>
        <w:t>始终坚持党对金融工作的全面领导，全面加强金融机构、</w:t>
      </w:r>
      <w:r>
        <w:rPr>
          <w:rFonts w:hint="eastAsia" w:hAnsi="仿宋_GB2312" w:eastAsia="仿宋_GB2312" w:cs="仿宋_GB2312"/>
          <w:sz w:val="32"/>
          <w:szCs w:val="32"/>
        </w:rPr>
        <w:t>金融部门的党建工作，以“党建+”融入金融机构改革全过程，以“融汇先锋”党建品牌锻造引领力、凝聚力、战斗力，确保金融发展政策一贯到底、全面落地。始终坚持深化数字改革，秉持数字化思维，落实省市政府数字转型决策部署，推动金融职能部门、金融机构数字化发展，推进县域金融治理和服务现代化。始终坚持完善金融工作协调机制，推动部门联动、高效协同，强化跨部门数据共享、流程再造和业务协同，推动金融管理服务从“碎片化”转变为“一体化”。建立健全领导联系金融重点企业的工作制度，对重大改革突破、重大项目遴选、重大工程推进、重点要素保障，开展研究决策和综合指导。加强考核督办，掌握项目进展，及时解决项目推进中遇到的问题。</w:t>
      </w:r>
    </w:p>
    <w:p>
      <w:pPr>
        <w:pStyle w:val="5"/>
        <w:spacing w:before="0" w:after="0" w:line="360" w:lineRule="auto"/>
        <w:ind w:firstLine="643" w:firstLineChars="200"/>
        <w:rPr>
          <w:rFonts w:ascii="黑体" w:hAnsi="黑体" w:eastAsia="黑体"/>
        </w:rPr>
      </w:pPr>
      <w:bookmarkStart w:id="28" w:name="_Toc63166587"/>
      <w:r>
        <w:rPr>
          <w:rFonts w:hint="eastAsia" w:ascii="黑体" w:hAnsi="黑体" w:eastAsia="黑体"/>
        </w:rPr>
        <w:t>（二）加强金融改革发展政策保障</w:t>
      </w:r>
      <w:bookmarkEnd w:id="28"/>
    </w:p>
    <w:p>
      <w:pPr>
        <w:widowControl/>
        <w:spacing w:line="360" w:lineRule="auto"/>
        <w:ind w:firstLine="640" w:firstLineChars="200"/>
        <w:jc w:val="left"/>
        <w:rPr>
          <w:rFonts w:hAnsi="仿宋_GB2312" w:eastAsia="仿宋_GB2312" w:cs="仿宋_GB2312"/>
          <w:sz w:val="32"/>
          <w:szCs w:val="32"/>
        </w:rPr>
      </w:pPr>
      <w:r>
        <w:rPr>
          <w:rFonts w:hint="eastAsia" w:hAnsi="仿宋_GB2312" w:eastAsia="仿宋_GB2312" w:cs="仿宋_GB2312"/>
          <w:sz w:val="32"/>
          <w:szCs w:val="32"/>
        </w:rPr>
        <w:t>围绕金融业态培育、资本市场建设、困难企业帮扶等工作，深入贯彻落实中央、省、市金融业发展相关政策，完善金融业发展政策体系。</w:t>
      </w:r>
      <w:r>
        <w:rPr>
          <w:rFonts w:hint="eastAsia" w:hAnsi="仿宋_GB2312" w:eastAsia="仿宋_GB2312" w:cs="仿宋_GB2312"/>
          <w:sz w:val="32"/>
          <w:szCs w:val="32"/>
          <w:lang w:bidi="ar"/>
        </w:rPr>
        <w:t>强化要素资源保障，制定完善企业股改、挂牌、上市等环节的扶持激励政策，给予土地、楼宇等支持。</w:t>
      </w:r>
      <w:r>
        <w:rPr>
          <w:rFonts w:hint="eastAsia" w:hAnsi="仿宋_GB2312" w:eastAsia="仿宋_GB2312" w:cs="仿宋_GB2312"/>
          <w:sz w:val="32"/>
          <w:szCs w:val="32"/>
        </w:rPr>
        <w:t>建立常态化政银企联动机制，及时沟通政策实施落地堵点难点，推动中央货币政策、金融政策特别是金融惠企政策精准落地、取得实效。制定出台创业投资基金、股权投资基金等支持政策，加大对金融新业态、高端金融人才引入培育力度。建立针对重点金融政策和金融项目的财政金融会商机制，切实发挥财政对金融业发展的保障作用。</w:t>
      </w:r>
    </w:p>
    <w:p>
      <w:pPr>
        <w:pStyle w:val="5"/>
        <w:spacing w:before="0" w:after="0" w:line="360" w:lineRule="auto"/>
        <w:ind w:firstLine="643" w:firstLineChars="200"/>
        <w:rPr>
          <w:rFonts w:ascii="黑体" w:hAnsi="黑体" w:eastAsia="黑体"/>
        </w:rPr>
      </w:pPr>
      <w:bookmarkStart w:id="29" w:name="_Toc63166588"/>
      <w:r>
        <w:rPr>
          <w:rFonts w:hint="eastAsia" w:ascii="黑体" w:hAnsi="黑体" w:eastAsia="黑体"/>
        </w:rPr>
        <w:t>（三）完善金融风险防控机制</w:t>
      </w:r>
      <w:bookmarkEnd w:id="29"/>
    </w:p>
    <w:p>
      <w:pPr>
        <w:pStyle w:val="10"/>
        <w:spacing w:line="360" w:lineRule="auto"/>
        <w:ind w:firstLine="640"/>
        <w:rPr>
          <w:rFonts w:hAnsi="仿宋_GB2312" w:eastAsia="仿宋_GB2312" w:cs="仿宋_GB2312"/>
          <w:sz w:val="32"/>
          <w:szCs w:val="32"/>
        </w:rPr>
      </w:pPr>
      <w:r>
        <w:rPr>
          <w:rFonts w:hint="eastAsia" w:hAnsi="仿宋_GB2312" w:eastAsia="仿宋_GB2312" w:cs="仿宋_GB2312"/>
          <w:sz w:val="32"/>
          <w:szCs w:val="32"/>
        </w:rPr>
        <w:t>构建以法律约束为前提、以行政监管为核心、以行业自律为补充的“三位一体”金融风险防控机制。加强金融市场合规监管力度，大力推进数字监管平台建设，利用浙江省金融风险“天罗地网”监测防控系统、温州“金融大脑”“非现场监管”等科技系统应用，打通部门数据壁垒，实行“事前”“事中”和“事后”全程预警监测。建立健全县政府统一领导的防范和处置非法集资工作机制，深化联动响应处置机制，完善政银企法“四方联动”、县镇企“三级响应”处置机制，推动风险处置工作从个案探索到系统化运作转变。</w:t>
      </w:r>
    </w:p>
    <w:p>
      <w:pPr>
        <w:pStyle w:val="5"/>
        <w:spacing w:before="0" w:after="0" w:line="360" w:lineRule="auto"/>
        <w:ind w:firstLine="643" w:firstLineChars="200"/>
        <w:rPr>
          <w:rFonts w:ascii="黑体" w:hAnsi="黑体" w:eastAsia="黑体"/>
        </w:rPr>
      </w:pPr>
      <w:bookmarkStart w:id="30" w:name="_Toc63166589"/>
      <w:r>
        <w:rPr>
          <w:rFonts w:hint="eastAsia" w:ascii="黑体" w:hAnsi="黑体" w:eastAsia="黑体"/>
        </w:rPr>
        <w:t>（四）加强金融人才队伍建设</w:t>
      </w:r>
      <w:bookmarkEnd w:id="30"/>
    </w:p>
    <w:p>
      <w:pPr>
        <w:pStyle w:val="10"/>
        <w:spacing w:line="360" w:lineRule="auto"/>
        <w:ind w:firstLine="640"/>
        <w:rPr>
          <w:rFonts w:hAnsi="仿宋_GB2312" w:eastAsia="仿宋_GB2312" w:cs="仿宋_GB2312"/>
          <w:sz w:val="32"/>
          <w:szCs w:val="32"/>
        </w:rPr>
      </w:pPr>
      <w:r>
        <w:rPr>
          <w:rFonts w:hint="eastAsia" w:hAnsi="仿宋_GB2312" w:eastAsia="仿宋_GB2312" w:cs="仿宋_GB2312"/>
          <w:sz w:val="32"/>
          <w:szCs w:val="32"/>
        </w:rPr>
        <w:t>积极利用“永嘉人才新政50条”，坚持引进和培育相结合，支持县、金融机构依托县、单位人才项目，引进培养一批急需紧缺金融人才，对省市内重要骨干金融机构引进的对金融发展具有重要引领带动作用，能够创造重大经济、社会和生态效益的金融高端人才，实行一人一策、一事一议。大力培育本地金融人才，优化金融人才培养方式，实施开展地方金融机构业务骨干知识更新工程、党政领导干部金融知识普及工程、企业高管金融知识提升工程、金融人才培养储备工程等金融人才培养“四大工程”。完善金融人才培养、评价、使用、流动、激励等政策和机制，实现人才政策应享尽享，确保金融人才“引得进、留得住、用得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43758"/>
    </w:sdtPr>
    <w:sdtContent>
      <w:p>
        <w:pPr>
          <w:pStyle w:val="16"/>
          <w:jc w:val="center"/>
        </w:pPr>
        <w:r>
          <w:fldChar w:fldCharType="begin"/>
        </w:r>
        <w:r>
          <w:instrText xml:space="preserve">PAGE   \* MERGEFORMAT</w:instrText>
        </w:r>
        <w:r>
          <w:fldChar w:fldCharType="separate"/>
        </w:r>
        <w:r>
          <w:rPr>
            <w:lang w:val="zh-CN"/>
          </w:rPr>
          <w:t>42</w:t>
        </w:r>
        <w: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526"/>
    <w:rsid w:val="00017E43"/>
    <w:rsid w:val="0004366D"/>
    <w:rsid w:val="000445A6"/>
    <w:rsid w:val="00055816"/>
    <w:rsid w:val="0005630D"/>
    <w:rsid w:val="00060DC4"/>
    <w:rsid w:val="00090A6C"/>
    <w:rsid w:val="00092C77"/>
    <w:rsid w:val="000C49BF"/>
    <w:rsid w:val="000D3ADF"/>
    <w:rsid w:val="000E3366"/>
    <w:rsid w:val="000E4588"/>
    <w:rsid w:val="000E62CA"/>
    <w:rsid w:val="001069D8"/>
    <w:rsid w:val="00120F00"/>
    <w:rsid w:val="001253E5"/>
    <w:rsid w:val="001365EF"/>
    <w:rsid w:val="001544B0"/>
    <w:rsid w:val="00160381"/>
    <w:rsid w:val="00165716"/>
    <w:rsid w:val="00172A27"/>
    <w:rsid w:val="00175A98"/>
    <w:rsid w:val="001812AD"/>
    <w:rsid w:val="00185D67"/>
    <w:rsid w:val="00192122"/>
    <w:rsid w:val="00193F7B"/>
    <w:rsid w:val="001A39F5"/>
    <w:rsid w:val="001B0CE3"/>
    <w:rsid w:val="001B5A7B"/>
    <w:rsid w:val="001C4C13"/>
    <w:rsid w:val="001D280C"/>
    <w:rsid w:val="001D3F24"/>
    <w:rsid w:val="001D42AD"/>
    <w:rsid w:val="001D7838"/>
    <w:rsid w:val="001E6448"/>
    <w:rsid w:val="001F7BC5"/>
    <w:rsid w:val="00207758"/>
    <w:rsid w:val="0023181A"/>
    <w:rsid w:val="002321DF"/>
    <w:rsid w:val="0023513A"/>
    <w:rsid w:val="00236F2E"/>
    <w:rsid w:val="00260C22"/>
    <w:rsid w:val="00262101"/>
    <w:rsid w:val="00293425"/>
    <w:rsid w:val="00293E0F"/>
    <w:rsid w:val="002A3A56"/>
    <w:rsid w:val="002A471B"/>
    <w:rsid w:val="002A4B10"/>
    <w:rsid w:val="002A69F2"/>
    <w:rsid w:val="002B3B55"/>
    <w:rsid w:val="002B4D31"/>
    <w:rsid w:val="002C32FF"/>
    <w:rsid w:val="002C6C65"/>
    <w:rsid w:val="002C7E73"/>
    <w:rsid w:val="002D27B2"/>
    <w:rsid w:val="002D7F42"/>
    <w:rsid w:val="002F48FF"/>
    <w:rsid w:val="00302F90"/>
    <w:rsid w:val="00305994"/>
    <w:rsid w:val="0031374F"/>
    <w:rsid w:val="00315EE1"/>
    <w:rsid w:val="00321BB4"/>
    <w:rsid w:val="00326392"/>
    <w:rsid w:val="00326EE4"/>
    <w:rsid w:val="00340061"/>
    <w:rsid w:val="00344C2F"/>
    <w:rsid w:val="00352299"/>
    <w:rsid w:val="00374943"/>
    <w:rsid w:val="003802D7"/>
    <w:rsid w:val="003905B4"/>
    <w:rsid w:val="00391DA2"/>
    <w:rsid w:val="003925D4"/>
    <w:rsid w:val="00397FD4"/>
    <w:rsid w:val="003B6AA2"/>
    <w:rsid w:val="003B6FBF"/>
    <w:rsid w:val="003D38C5"/>
    <w:rsid w:val="003D6BE1"/>
    <w:rsid w:val="003F3BF7"/>
    <w:rsid w:val="003F3EA3"/>
    <w:rsid w:val="003F58C5"/>
    <w:rsid w:val="00400BF9"/>
    <w:rsid w:val="00401171"/>
    <w:rsid w:val="0041094B"/>
    <w:rsid w:val="00410AF3"/>
    <w:rsid w:val="0041798B"/>
    <w:rsid w:val="00426AE0"/>
    <w:rsid w:val="0043419E"/>
    <w:rsid w:val="0043491D"/>
    <w:rsid w:val="004523A7"/>
    <w:rsid w:val="00454826"/>
    <w:rsid w:val="00456907"/>
    <w:rsid w:val="0046679F"/>
    <w:rsid w:val="004675E1"/>
    <w:rsid w:val="00480D0D"/>
    <w:rsid w:val="00484530"/>
    <w:rsid w:val="004A6079"/>
    <w:rsid w:val="004D398E"/>
    <w:rsid w:val="004F5128"/>
    <w:rsid w:val="00511527"/>
    <w:rsid w:val="005210F0"/>
    <w:rsid w:val="00537D05"/>
    <w:rsid w:val="0055329E"/>
    <w:rsid w:val="005750CA"/>
    <w:rsid w:val="00581AB5"/>
    <w:rsid w:val="005838E6"/>
    <w:rsid w:val="00584DA3"/>
    <w:rsid w:val="005853FF"/>
    <w:rsid w:val="005854FE"/>
    <w:rsid w:val="0058717A"/>
    <w:rsid w:val="00590205"/>
    <w:rsid w:val="005B06F2"/>
    <w:rsid w:val="005B5A85"/>
    <w:rsid w:val="005B6041"/>
    <w:rsid w:val="005E5FA9"/>
    <w:rsid w:val="006046CD"/>
    <w:rsid w:val="0061139A"/>
    <w:rsid w:val="006302DF"/>
    <w:rsid w:val="00631851"/>
    <w:rsid w:val="0066604A"/>
    <w:rsid w:val="00680372"/>
    <w:rsid w:val="00684C49"/>
    <w:rsid w:val="006A6D70"/>
    <w:rsid w:val="006B0C89"/>
    <w:rsid w:val="006C3986"/>
    <w:rsid w:val="006C4DC6"/>
    <w:rsid w:val="006C6DC3"/>
    <w:rsid w:val="006C73E1"/>
    <w:rsid w:val="006D3174"/>
    <w:rsid w:val="006E5355"/>
    <w:rsid w:val="006F3481"/>
    <w:rsid w:val="006F7D44"/>
    <w:rsid w:val="00707683"/>
    <w:rsid w:val="007108BD"/>
    <w:rsid w:val="007109F8"/>
    <w:rsid w:val="00731D56"/>
    <w:rsid w:val="00752411"/>
    <w:rsid w:val="0076690E"/>
    <w:rsid w:val="007903A7"/>
    <w:rsid w:val="00795626"/>
    <w:rsid w:val="007A1B32"/>
    <w:rsid w:val="007B298D"/>
    <w:rsid w:val="007B41A9"/>
    <w:rsid w:val="007B6D2B"/>
    <w:rsid w:val="007C0729"/>
    <w:rsid w:val="007C26BB"/>
    <w:rsid w:val="007C55C8"/>
    <w:rsid w:val="007D6ADA"/>
    <w:rsid w:val="007E15E3"/>
    <w:rsid w:val="00802CA3"/>
    <w:rsid w:val="00804DF9"/>
    <w:rsid w:val="00805A22"/>
    <w:rsid w:val="00805BD5"/>
    <w:rsid w:val="00805F40"/>
    <w:rsid w:val="00811E70"/>
    <w:rsid w:val="008124CE"/>
    <w:rsid w:val="0081299A"/>
    <w:rsid w:val="00823497"/>
    <w:rsid w:val="00831DA9"/>
    <w:rsid w:val="00843DE5"/>
    <w:rsid w:val="00847C19"/>
    <w:rsid w:val="00856BF6"/>
    <w:rsid w:val="00864301"/>
    <w:rsid w:val="00871FC3"/>
    <w:rsid w:val="008727B9"/>
    <w:rsid w:val="00873DDC"/>
    <w:rsid w:val="008775C2"/>
    <w:rsid w:val="008809EA"/>
    <w:rsid w:val="008A04DC"/>
    <w:rsid w:val="008C09C7"/>
    <w:rsid w:val="008C729C"/>
    <w:rsid w:val="008D0E26"/>
    <w:rsid w:val="008D37E0"/>
    <w:rsid w:val="008D68F8"/>
    <w:rsid w:val="008E48A9"/>
    <w:rsid w:val="008E4EA5"/>
    <w:rsid w:val="008F0855"/>
    <w:rsid w:val="008F20DD"/>
    <w:rsid w:val="00905E03"/>
    <w:rsid w:val="00920785"/>
    <w:rsid w:val="009228BB"/>
    <w:rsid w:val="0093246F"/>
    <w:rsid w:val="009335F7"/>
    <w:rsid w:val="00940A25"/>
    <w:rsid w:val="00970A9E"/>
    <w:rsid w:val="0097221F"/>
    <w:rsid w:val="00983F45"/>
    <w:rsid w:val="00985DDB"/>
    <w:rsid w:val="009A0042"/>
    <w:rsid w:val="009A6B8D"/>
    <w:rsid w:val="009B5354"/>
    <w:rsid w:val="009B654E"/>
    <w:rsid w:val="009D345E"/>
    <w:rsid w:val="009F2E9E"/>
    <w:rsid w:val="00A02FA1"/>
    <w:rsid w:val="00A05A3B"/>
    <w:rsid w:val="00A56972"/>
    <w:rsid w:val="00A624E1"/>
    <w:rsid w:val="00A64667"/>
    <w:rsid w:val="00A64C4B"/>
    <w:rsid w:val="00A67429"/>
    <w:rsid w:val="00A83520"/>
    <w:rsid w:val="00A9220F"/>
    <w:rsid w:val="00AA7083"/>
    <w:rsid w:val="00AB2D9B"/>
    <w:rsid w:val="00AC7577"/>
    <w:rsid w:val="00AE1BF8"/>
    <w:rsid w:val="00AE3429"/>
    <w:rsid w:val="00AE693A"/>
    <w:rsid w:val="00AF6F14"/>
    <w:rsid w:val="00B06320"/>
    <w:rsid w:val="00B07A76"/>
    <w:rsid w:val="00B10CE1"/>
    <w:rsid w:val="00B209F4"/>
    <w:rsid w:val="00B23948"/>
    <w:rsid w:val="00B26997"/>
    <w:rsid w:val="00B45E3F"/>
    <w:rsid w:val="00B519A6"/>
    <w:rsid w:val="00B5229B"/>
    <w:rsid w:val="00B54B5A"/>
    <w:rsid w:val="00B553C9"/>
    <w:rsid w:val="00B67B83"/>
    <w:rsid w:val="00B72E98"/>
    <w:rsid w:val="00B93549"/>
    <w:rsid w:val="00B96A5F"/>
    <w:rsid w:val="00B9725A"/>
    <w:rsid w:val="00BB6A48"/>
    <w:rsid w:val="00BC1EF1"/>
    <w:rsid w:val="00BE6510"/>
    <w:rsid w:val="00C05D59"/>
    <w:rsid w:val="00C07070"/>
    <w:rsid w:val="00C10A17"/>
    <w:rsid w:val="00C132EF"/>
    <w:rsid w:val="00C23CC4"/>
    <w:rsid w:val="00C32E92"/>
    <w:rsid w:val="00C342CD"/>
    <w:rsid w:val="00C46E19"/>
    <w:rsid w:val="00C535B5"/>
    <w:rsid w:val="00C628CD"/>
    <w:rsid w:val="00C655D2"/>
    <w:rsid w:val="00C666A6"/>
    <w:rsid w:val="00C66B89"/>
    <w:rsid w:val="00C8089B"/>
    <w:rsid w:val="00C81640"/>
    <w:rsid w:val="00C96627"/>
    <w:rsid w:val="00CB4D92"/>
    <w:rsid w:val="00CC4CFA"/>
    <w:rsid w:val="00CD6006"/>
    <w:rsid w:val="00CD6F0D"/>
    <w:rsid w:val="00CE5F28"/>
    <w:rsid w:val="00D003B2"/>
    <w:rsid w:val="00D02D27"/>
    <w:rsid w:val="00D243E5"/>
    <w:rsid w:val="00D36DFB"/>
    <w:rsid w:val="00D423C6"/>
    <w:rsid w:val="00D52B92"/>
    <w:rsid w:val="00D56456"/>
    <w:rsid w:val="00D57333"/>
    <w:rsid w:val="00D62BDB"/>
    <w:rsid w:val="00D66143"/>
    <w:rsid w:val="00D6653E"/>
    <w:rsid w:val="00D7147E"/>
    <w:rsid w:val="00D75CE1"/>
    <w:rsid w:val="00D772FC"/>
    <w:rsid w:val="00D820F2"/>
    <w:rsid w:val="00D91C96"/>
    <w:rsid w:val="00D930C7"/>
    <w:rsid w:val="00D95572"/>
    <w:rsid w:val="00D95FE1"/>
    <w:rsid w:val="00DA396A"/>
    <w:rsid w:val="00DA5701"/>
    <w:rsid w:val="00DB2FDF"/>
    <w:rsid w:val="00DD02F7"/>
    <w:rsid w:val="00DE5A88"/>
    <w:rsid w:val="00DF0829"/>
    <w:rsid w:val="00E04F9D"/>
    <w:rsid w:val="00E1258E"/>
    <w:rsid w:val="00E24311"/>
    <w:rsid w:val="00E2445D"/>
    <w:rsid w:val="00E315AA"/>
    <w:rsid w:val="00E31C2B"/>
    <w:rsid w:val="00E35809"/>
    <w:rsid w:val="00E44CDA"/>
    <w:rsid w:val="00E50D4A"/>
    <w:rsid w:val="00E72F20"/>
    <w:rsid w:val="00E81234"/>
    <w:rsid w:val="00E851AD"/>
    <w:rsid w:val="00EA1FEF"/>
    <w:rsid w:val="00EC0945"/>
    <w:rsid w:val="00ED6E7C"/>
    <w:rsid w:val="00EE1679"/>
    <w:rsid w:val="00EE5AAE"/>
    <w:rsid w:val="00EF485F"/>
    <w:rsid w:val="00F01B07"/>
    <w:rsid w:val="00F13566"/>
    <w:rsid w:val="00F239BF"/>
    <w:rsid w:val="00F30341"/>
    <w:rsid w:val="00F43F20"/>
    <w:rsid w:val="00F44A0F"/>
    <w:rsid w:val="00F61809"/>
    <w:rsid w:val="00F649BE"/>
    <w:rsid w:val="00F751EB"/>
    <w:rsid w:val="00F809C3"/>
    <w:rsid w:val="00F81DD4"/>
    <w:rsid w:val="00F90106"/>
    <w:rsid w:val="00F91D61"/>
    <w:rsid w:val="00FC2B17"/>
    <w:rsid w:val="00FD3623"/>
    <w:rsid w:val="00FE1586"/>
    <w:rsid w:val="00FF051D"/>
    <w:rsid w:val="00FF2D65"/>
    <w:rsid w:val="012D3BA3"/>
    <w:rsid w:val="01591C50"/>
    <w:rsid w:val="01615237"/>
    <w:rsid w:val="019E0442"/>
    <w:rsid w:val="01EE75B4"/>
    <w:rsid w:val="0220020A"/>
    <w:rsid w:val="02710ED8"/>
    <w:rsid w:val="02C24D8B"/>
    <w:rsid w:val="02F93954"/>
    <w:rsid w:val="030E17D0"/>
    <w:rsid w:val="035B7187"/>
    <w:rsid w:val="038834B2"/>
    <w:rsid w:val="03B7730D"/>
    <w:rsid w:val="03BB7115"/>
    <w:rsid w:val="03C67CE6"/>
    <w:rsid w:val="03F26C01"/>
    <w:rsid w:val="03F56014"/>
    <w:rsid w:val="0422747D"/>
    <w:rsid w:val="04C6569E"/>
    <w:rsid w:val="04FD56B9"/>
    <w:rsid w:val="054E45C7"/>
    <w:rsid w:val="056730B3"/>
    <w:rsid w:val="05824DA4"/>
    <w:rsid w:val="0643762E"/>
    <w:rsid w:val="066A1838"/>
    <w:rsid w:val="067F3AED"/>
    <w:rsid w:val="069A335F"/>
    <w:rsid w:val="06A305F3"/>
    <w:rsid w:val="06DD1372"/>
    <w:rsid w:val="07C9769D"/>
    <w:rsid w:val="07D94AF7"/>
    <w:rsid w:val="07DD11B1"/>
    <w:rsid w:val="07F66FDF"/>
    <w:rsid w:val="08113E72"/>
    <w:rsid w:val="08257939"/>
    <w:rsid w:val="083A0FE1"/>
    <w:rsid w:val="08663496"/>
    <w:rsid w:val="08AE7DCF"/>
    <w:rsid w:val="08FF4FD6"/>
    <w:rsid w:val="099B63B0"/>
    <w:rsid w:val="09B01F58"/>
    <w:rsid w:val="09EC637E"/>
    <w:rsid w:val="0A1B3A7A"/>
    <w:rsid w:val="0A5E7BEB"/>
    <w:rsid w:val="0AC46FD9"/>
    <w:rsid w:val="0B3F5D68"/>
    <w:rsid w:val="0B9271DD"/>
    <w:rsid w:val="0BB372B4"/>
    <w:rsid w:val="0BE86175"/>
    <w:rsid w:val="0BF62050"/>
    <w:rsid w:val="0C5E4C97"/>
    <w:rsid w:val="0C755286"/>
    <w:rsid w:val="0CAA571D"/>
    <w:rsid w:val="0CEA092C"/>
    <w:rsid w:val="0D064441"/>
    <w:rsid w:val="0D121484"/>
    <w:rsid w:val="0DF2754D"/>
    <w:rsid w:val="0E572AF5"/>
    <w:rsid w:val="0E8379FB"/>
    <w:rsid w:val="0EB742D2"/>
    <w:rsid w:val="0ED16C04"/>
    <w:rsid w:val="0F4C3DC8"/>
    <w:rsid w:val="0F652015"/>
    <w:rsid w:val="107A0F0A"/>
    <w:rsid w:val="110B5CE5"/>
    <w:rsid w:val="1119799E"/>
    <w:rsid w:val="112E4AAD"/>
    <w:rsid w:val="11D16955"/>
    <w:rsid w:val="12016197"/>
    <w:rsid w:val="12437A56"/>
    <w:rsid w:val="125C0988"/>
    <w:rsid w:val="131041B3"/>
    <w:rsid w:val="133A1328"/>
    <w:rsid w:val="136F4D07"/>
    <w:rsid w:val="138301C8"/>
    <w:rsid w:val="13AE6D1A"/>
    <w:rsid w:val="13D86D35"/>
    <w:rsid w:val="13DA545E"/>
    <w:rsid w:val="141B5643"/>
    <w:rsid w:val="14476414"/>
    <w:rsid w:val="14F00768"/>
    <w:rsid w:val="15412D35"/>
    <w:rsid w:val="16050BA3"/>
    <w:rsid w:val="163B5AD1"/>
    <w:rsid w:val="164268FB"/>
    <w:rsid w:val="17181836"/>
    <w:rsid w:val="1748224C"/>
    <w:rsid w:val="17594CA7"/>
    <w:rsid w:val="17B15EAC"/>
    <w:rsid w:val="18033ED9"/>
    <w:rsid w:val="18053F71"/>
    <w:rsid w:val="18496F0B"/>
    <w:rsid w:val="186C7986"/>
    <w:rsid w:val="18BD10F9"/>
    <w:rsid w:val="191224C2"/>
    <w:rsid w:val="19291A56"/>
    <w:rsid w:val="193A32F5"/>
    <w:rsid w:val="198425FC"/>
    <w:rsid w:val="19FF3621"/>
    <w:rsid w:val="1A4013DA"/>
    <w:rsid w:val="1A4C47B9"/>
    <w:rsid w:val="1A55792B"/>
    <w:rsid w:val="1A584FD9"/>
    <w:rsid w:val="1ACF3BD5"/>
    <w:rsid w:val="1B2A5C71"/>
    <w:rsid w:val="1BAF19ED"/>
    <w:rsid w:val="1BC47C38"/>
    <w:rsid w:val="1C19596A"/>
    <w:rsid w:val="1C762D75"/>
    <w:rsid w:val="1CAC6B21"/>
    <w:rsid w:val="1CC40939"/>
    <w:rsid w:val="1CE86584"/>
    <w:rsid w:val="1D205D53"/>
    <w:rsid w:val="1D566AF6"/>
    <w:rsid w:val="1D7B3D72"/>
    <w:rsid w:val="1D950001"/>
    <w:rsid w:val="1E043B4E"/>
    <w:rsid w:val="1E3E524B"/>
    <w:rsid w:val="1EA97C9E"/>
    <w:rsid w:val="1EAA0EFA"/>
    <w:rsid w:val="1EBC32E9"/>
    <w:rsid w:val="1F016493"/>
    <w:rsid w:val="1FBF3AF3"/>
    <w:rsid w:val="1FD2630B"/>
    <w:rsid w:val="204077FA"/>
    <w:rsid w:val="20442938"/>
    <w:rsid w:val="205C668C"/>
    <w:rsid w:val="206142DE"/>
    <w:rsid w:val="207404AB"/>
    <w:rsid w:val="2087294B"/>
    <w:rsid w:val="2099141C"/>
    <w:rsid w:val="20D46C96"/>
    <w:rsid w:val="216C0A9F"/>
    <w:rsid w:val="22473F9D"/>
    <w:rsid w:val="228B7412"/>
    <w:rsid w:val="22CC042C"/>
    <w:rsid w:val="22D37B64"/>
    <w:rsid w:val="23287D8F"/>
    <w:rsid w:val="232D3551"/>
    <w:rsid w:val="23956173"/>
    <w:rsid w:val="23984A07"/>
    <w:rsid w:val="23CF69DE"/>
    <w:rsid w:val="24527366"/>
    <w:rsid w:val="24542415"/>
    <w:rsid w:val="248B12D8"/>
    <w:rsid w:val="24E25161"/>
    <w:rsid w:val="25692A7F"/>
    <w:rsid w:val="256E278F"/>
    <w:rsid w:val="25EC5C8D"/>
    <w:rsid w:val="25ED6817"/>
    <w:rsid w:val="26050830"/>
    <w:rsid w:val="261660D4"/>
    <w:rsid w:val="266C3A5B"/>
    <w:rsid w:val="266D04E8"/>
    <w:rsid w:val="267D1A50"/>
    <w:rsid w:val="26872794"/>
    <w:rsid w:val="26D52556"/>
    <w:rsid w:val="278145AD"/>
    <w:rsid w:val="27C34A8F"/>
    <w:rsid w:val="27D77FB9"/>
    <w:rsid w:val="27F811D4"/>
    <w:rsid w:val="280A5377"/>
    <w:rsid w:val="285777CA"/>
    <w:rsid w:val="286C036C"/>
    <w:rsid w:val="287B1F55"/>
    <w:rsid w:val="2A0751DE"/>
    <w:rsid w:val="2A397532"/>
    <w:rsid w:val="2A6622CE"/>
    <w:rsid w:val="2AAE32CF"/>
    <w:rsid w:val="2AFE112A"/>
    <w:rsid w:val="2B3C1484"/>
    <w:rsid w:val="2BA8361E"/>
    <w:rsid w:val="2C4A290A"/>
    <w:rsid w:val="2C5E445C"/>
    <w:rsid w:val="2C6A6A11"/>
    <w:rsid w:val="2D29563B"/>
    <w:rsid w:val="2D7D57CC"/>
    <w:rsid w:val="2E365D85"/>
    <w:rsid w:val="2E3D250E"/>
    <w:rsid w:val="2E502340"/>
    <w:rsid w:val="2ED7681E"/>
    <w:rsid w:val="2F7F116C"/>
    <w:rsid w:val="30092C01"/>
    <w:rsid w:val="303364D0"/>
    <w:rsid w:val="305D1E97"/>
    <w:rsid w:val="30637807"/>
    <w:rsid w:val="308669DB"/>
    <w:rsid w:val="30BF28A1"/>
    <w:rsid w:val="31213120"/>
    <w:rsid w:val="31244B75"/>
    <w:rsid w:val="318F4573"/>
    <w:rsid w:val="319A20A8"/>
    <w:rsid w:val="31C47068"/>
    <w:rsid w:val="31F6042A"/>
    <w:rsid w:val="320262FD"/>
    <w:rsid w:val="32122CD5"/>
    <w:rsid w:val="321739F1"/>
    <w:rsid w:val="327C7387"/>
    <w:rsid w:val="3369322F"/>
    <w:rsid w:val="3384280C"/>
    <w:rsid w:val="33BB0FFE"/>
    <w:rsid w:val="33EA653D"/>
    <w:rsid w:val="349566A1"/>
    <w:rsid w:val="34DA21F6"/>
    <w:rsid w:val="354B3F0C"/>
    <w:rsid w:val="354F7D77"/>
    <w:rsid w:val="356768C2"/>
    <w:rsid w:val="357D1279"/>
    <w:rsid w:val="358D7945"/>
    <w:rsid w:val="35F613AF"/>
    <w:rsid w:val="35F77755"/>
    <w:rsid w:val="36224AD5"/>
    <w:rsid w:val="365F15A0"/>
    <w:rsid w:val="36A91D5F"/>
    <w:rsid w:val="36D77E89"/>
    <w:rsid w:val="36F72F3F"/>
    <w:rsid w:val="370742DA"/>
    <w:rsid w:val="370909E2"/>
    <w:rsid w:val="371A79AA"/>
    <w:rsid w:val="37B57935"/>
    <w:rsid w:val="37BF3175"/>
    <w:rsid w:val="3824706D"/>
    <w:rsid w:val="38340BE8"/>
    <w:rsid w:val="38A95A71"/>
    <w:rsid w:val="38BB71DE"/>
    <w:rsid w:val="38BE06E3"/>
    <w:rsid w:val="39185C38"/>
    <w:rsid w:val="394B055A"/>
    <w:rsid w:val="39F15C44"/>
    <w:rsid w:val="3A166584"/>
    <w:rsid w:val="3A1F3F1E"/>
    <w:rsid w:val="3A2914BF"/>
    <w:rsid w:val="3A412254"/>
    <w:rsid w:val="3A5058CB"/>
    <w:rsid w:val="3A806387"/>
    <w:rsid w:val="3AC132E3"/>
    <w:rsid w:val="3B033BE7"/>
    <w:rsid w:val="3B1B2E86"/>
    <w:rsid w:val="3B2142AF"/>
    <w:rsid w:val="3B54684B"/>
    <w:rsid w:val="3B56686C"/>
    <w:rsid w:val="3B5E45B3"/>
    <w:rsid w:val="3B6667BE"/>
    <w:rsid w:val="3C006A0B"/>
    <w:rsid w:val="3C083644"/>
    <w:rsid w:val="3C20006B"/>
    <w:rsid w:val="3C7825F4"/>
    <w:rsid w:val="3C9D74C5"/>
    <w:rsid w:val="3CC217A7"/>
    <w:rsid w:val="3D137F9A"/>
    <w:rsid w:val="3D3A4CB5"/>
    <w:rsid w:val="3D632644"/>
    <w:rsid w:val="3D6B3B38"/>
    <w:rsid w:val="3D743800"/>
    <w:rsid w:val="3D8720F7"/>
    <w:rsid w:val="3DD02F7F"/>
    <w:rsid w:val="3DD42397"/>
    <w:rsid w:val="3DE82FB1"/>
    <w:rsid w:val="3E1D0C7F"/>
    <w:rsid w:val="3EA6028C"/>
    <w:rsid w:val="3F021373"/>
    <w:rsid w:val="3F212406"/>
    <w:rsid w:val="3F3E57A1"/>
    <w:rsid w:val="3FFF22B2"/>
    <w:rsid w:val="40AF1416"/>
    <w:rsid w:val="414B7073"/>
    <w:rsid w:val="41C26CC4"/>
    <w:rsid w:val="41C5687A"/>
    <w:rsid w:val="42112BAE"/>
    <w:rsid w:val="421E29D3"/>
    <w:rsid w:val="42CB76E2"/>
    <w:rsid w:val="42FA008A"/>
    <w:rsid w:val="43260032"/>
    <w:rsid w:val="43744E53"/>
    <w:rsid w:val="43AD6B57"/>
    <w:rsid w:val="43AD786C"/>
    <w:rsid w:val="44732525"/>
    <w:rsid w:val="44F72595"/>
    <w:rsid w:val="45421097"/>
    <w:rsid w:val="45500628"/>
    <w:rsid w:val="458A17E4"/>
    <w:rsid w:val="45BC165D"/>
    <w:rsid w:val="45F820F6"/>
    <w:rsid w:val="46377345"/>
    <w:rsid w:val="46705A83"/>
    <w:rsid w:val="46C72FFF"/>
    <w:rsid w:val="46CB0631"/>
    <w:rsid w:val="46F25B64"/>
    <w:rsid w:val="474B76FB"/>
    <w:rsid w:val="47D345A4"/>
    <w:rsid w:val="47DC48BA"/>
    <w:rsid w:val="4827750F"/>
    <w:rsid w:val="48314A70"/>
    <w:rsid w:val="48443D61"/>
    <w:rsid w:val="48453EBD"/>
    <w:rsid w:val="486D5607"/>
    <w:rsid w:val="4876780A"/>
    <w:rsid w:val="48A16A3E"/>
    <w:rsid w:val="48C643CB"/>
    <w:rsid w:val="4913086A"/>
    <w:rsid w:val="4992580C"/>
    <w:rsid w:val="499A41BD"/>
    <w:rsid w:val="499B4D3C"/>
    <w:rsid w:val="4A6F4A38"/>
    <w:rsid w:val="4AA968CD"/>
    <w:rsid w:val="4AFF58D6"/>
    <w:rsid w:val="4B345804"/>
    <w:rsid w:val="4B5E226B"/>
    <w:rsid w:val="4B65208E"/>
    <w:rsid w:val="4BA75B86"/>
    <w:rsid w:val="4BB341F8"/>
    <w:rsid w:val="4C41713A"/>
    <w:rsid w:val="4C68230B"/>
    <w:rsid w:val="4D0C589C"/>
    <w:rsid w:val="4D12331F"/>
    <w:rsid w:val="4D1A5284"/>
    <w:rsid w:val="4DE96811"/>
    <w:rsid w:val="4DFD7206"/>
    <w:rsid w:val="4E0B4FF1"/>
    <w:rsid w:val="4E337B28"/>
    <w:rsid w:val="4E501CDB"/>
    <w:rsid w:val="4EF54AB1"/>
    <w:rsid w:val="4F423E1E"/>
    <w:rsid w:val="4F6E0F81"/>
    <w:rsid w:val="4F760426"/>
    <w:rsid w:val="4F7F0B62"/>
    <w:rsid w:val="4F913A46"/>
    <w:rsid w:val="5017699B"/>
    <w:rsid w:val="505D3BA4"/>
    <w:rsid w:val="50BC0363"/>
    <w:rsid w:val="50D220D9"/>
    <w:rsid w:val="51115FD9"/>
    <w:rsid w:val="516D657F"/>
    <w:rsid w:val="5190064B"/>
    <w:rsid w:val="51982B4D"/>
    <w:rsid w:val="51A3659C"/>
    <w:rsid w:val="51B52F94"/>
    <w:rsid w:val="51C351A8"/>
    <w:rsid w:val="51C605D4"/>
    <w:rsid w:val="51D024A2"/>
    <w:rsid w:val="520E67D8"/>
    <w:rsid w:val="521D5EAE"/>
    <w:rsid w:val="5256504A"/>
    <w:rsid w:val="525C5890"/>
    <w:rsid w:val="52830DD5"/>
    <w:rsid w:val="52A5585C"/>
    <w:rsid w:val="53264DA9"/>
    <w:rsid w:val="538260AC"/>
    <w:rsid w:val="53973A05"/>
    <w:rsid w:val="53DD10F9"/>
    <w:rsid w:val="53F45633"/>
    <w:rsid w:val="54593E4D"/>
    <w:rsid w:val="549F4A9A"/>
    <w:rsid w:val="54DE7CA7"/>
    <w:rsid w:val="550A7A2A"/>
    <w:rsid w:val="55161D39"/>
    <w:rsid w:val="55197677"/>
    <w:rsid w:val="5568607F"/>
    <w:rsid w:val="55703B9C"/>
    <w:rsid w:val="55CE4055"/>
    <w:rsid w:val="55F117BD"/>
    <w:rsid w:val="57140DC1"/>
    <w:rsid w:val="573C3412"/>
    <w:rsid w:val="573E14BE"/>
    <w:rsid w:val="576D278B"/>
    <w:rsid w:val="58D9357E"/>
    <w:rsid w:val="58E04216"/>
    <w:rsid w:val="595A11F1"/>
    <w:rsid w:val="5AD0202B"/>
    <w:rsid w:val="5AFA1C86"/>
    <w:rsid w:val="5B710AE5"/>
    <w:rsid w:val="5BC424B8"/>
    <w:rsid w:val="5BC4346E"/>
    <w:rsid w:val="5BD810EE"/>
    <w:rsid w:val="5C3D390C"/>
    <w:rsid w:val="5C4A2834"/>
    <w:rsid w:val="5C5B6034"/>
    <w:rsid w:val="5C61508D"/>
    <w:rsid w:val="5C833E39"/>
    <w:rsid w:val="5C94443A"/>
    <w:rsid w:val="5CB0083B"/>
    <w:rsid w:val="5D235C5C"/>
    <w:rsid w:val="5D361408"/>
    <w:rsid w:val="5D635E19"/>
    <w:rsid w:val="5DD41425"/>
    <w:rsid w:val="5E4A22AD"/>
    <w:rsid w:val="5E711EF2"/>
    <w:rsid w:val="5E8E729B"/>
    <w:rsid w:val="5E9E4183"/>
    <w:rsid w:val="5EB73914"/>
    <w:rsid w:val="5EC05B80"/>
    <w:rsid w:val="5F1872C5"/>
    <w:rsid w:val="5F8131C9"/>
    <w:rsid w:val="5FBD2448"/>
    <w:rsid w:val="5FBD5D93"/>
    <w:rsid w:val="5FD11F65"/>
    <w:rsid w:val="600629EA"/>
    <w:rsid w:val="60374BBE"/>
    <w:rsid w:val="60407AB1"/>
    <w:rsid w:val="608300AF"/>
    <w:rsid w:val="609B6CA0"/>
    <w:rsid w:val="60FD450B"/>
    <w:rsid w:val="619214BB"/>
    <w:rsid w:val="619C6E95"/>
    <w:rsid w:val="61F371F0"/>
    <w:rsid w:val="6217609B"/>
    <w:rsid w:val="6256581B"/>
    <w:rsid w:val="6267310A"/>
    <w:rsid w:val="62BE011F"/>
    <w:rsid w:val="64467B92"/>
    <w:rsid w:val="64F537C0"/>
    <w:rsid w:val="65354699"/>
    <w:rsid w:val="65675DA6"/>
    <w:rsid w:val="65C8146B"/>
    <w:rsid w:val="65F63292"/>
    <w:rsid w:val="66777446"/>
    <w:rsid w:val="66995FD7"/>
    <w:rsid w:val="66A4634A"/>
    <w:rsid w:val="66DB51B4"/>
    <w:rsid w:val="66DB716C"/>
    <w:rsid w:val="66DF4C96"/>
    <w:rsid w:val="66F763B2"/>
    <w:rsid w:val="670D5DB7"/>
    <w:rsid w:val="6729646B"/>
    <w:rsid w:val="674F6185"/>
    <w:rsid w:val="675918B2"/>
    <w:rsid w:val="67DD08FD"/>
    <w:rsid w:val="68435CD1"/>
    <w:rsid w:val="68A05F8E"/>
    <w:rsid w:val="69757616"/>
    <w:rsid w:val="6998775F"/>
    <w:rsid w:val="6A0315DF"/>
    <w:rsid w:val="6A7A16BB"/>
    <w:rsid w:val="6A7E5DDC"/>
    <w:rsid w:val="6A967A1F"/>
    <w:rsid w:val="6A9F4C9A"/>
    <w:rsid w:val="6ACB2904"/>
    <w:rsid w:val="6B1758D8"/>
    <w:rsid w:val="6B36742E"/>
    <w:rsid w:val="6B6C35F0"/>
    <w:rsid w:val="6BAD6880"/>
    <w:rsid w:val="6C291450"/>
    <w:rsid w:val="6C2C0337"/>
    <w:rsid w:val="6C5A66BD"/>
    <w:rsid w:val="6C5E03BC"/>
    <w:rsid w:val="6CC775F6"/>
    <w:rsid w:val="6CD23B71"/>
    <w:rsid w:val="6D2D3831"/>
    <w:rsid w:val="6D572309"/>
    <w:rsid w:val="6DE06C58"/>
    <w:rsid w:val="6E41665F"/>
    <w:rsid w:val="6E4E7FEC"/>
    <w:rsid w:val="6EBA3A42"/>
    <w:rsid w:val="6F0F57E6"/>
    <w:rsid w:val="6F115DB5"/>
    <w:rsid w:val="6F576436"/>
    <w:rsid w:val="6F9F0F54"/>
    <w:rsid w:val="70BF1A8C"/>
    <w:rsid w:val="70C061BE"/>
    <w:rsid w:val="70EA609F"/>
    <w:rsid w:val="712C4D27"/>
    <w:rsid w:val="71416F25"/>
    <w:rsid w:val="717163B3"/>
    <w:rsid w:val="71F02357"/>
    <w:rsid w:val="72032F8D"/>
    <w:rsid w:val="72196A9E"/>
    <w:rsid w:val="72343E4A"/>
    <w:rsid w:val="726A668B"/>
    <w:rsid w:val="727211B1"/>
    <w:rsid w:val="728E4782"/>
    <w:rsid w:val="72970055"/>
    <w:rsid w:val="72AE7414"/>
    <w:rsid w:val="72DF207C"/>
    <w:rsid w:val="73683F43"/>
    <w:rsid w:val="73D171E5"/>
    <w:rsid w:val="73E43FEC"/>
    <w:rsid w:val="73F4631E"/>
    <w:rsid w:val="73F544AE"/>
    <w:rsid w:val="7400180B"/>
    <w:rsid w:val="74297E36"/>
    <w:rsid w:val="74903127"/>
    <w:rsid w:val="74984E4F"/>
    <w:rsid w:val="74EB452F"/>
    <w:rsid w:val="75094EF1"/>
    <w:rsid w:val="756F3A82"/>
    <w:rsid w:val="756F635B"/>
    <w:rsid w:val="7589374D"/>
    <w:rsid w:val="76106D7D"/>
    <w:rsid w:val="76895551"/>
    <w:rsid w:val="76E50603"/>
    <w:rsid w:val="76EE5BF0"/>
    <w:rsid w:val="7705774D"/>
    <w:rsid w:val="78214F21"/>
    <w:rsid w:val="7823665B"/>
    <w:rsid w:val="7882012E"/>
    <w:rsid w:val="78971CE0"/>
    <w:rsid w:val="78EB7297"/>
    <w:rsid w:val="78F406E2"/>
    <w:rsid w:val="78FB7B74"/>
    <w:rsid w:val="79251435"/>
    <w:rsid w:val="79387B23"/>
    <w:rsid w:val="7952424D"/>
    <w:rsid w:val="79615AF1"/>
    <w:rsid w:val="799A1840"/>
    <w:rsid w:val="79B50B13"/>
    <w:rsid w:val="7A2454A5"/>
    <w:rsid w:val="7AA42C4C"/>
    <w:rsid w:val="7AF8532B"/>
    <w:rsid w:val="7AFB3652"/>
    <w:rsid w:val="7B1039A4"/>
    <w:rsid w:val="7B1E6C24"/>
    <w:rsid w:val="7B240CAF"/>
    <w:rsid w:val="7B3E48C6"/>
    <w:rsid w:val="7B5F6304"/>
    <w:rsid w:val="7B84518F"/>
    <w:rsid w:val="7B8945F9"/>
    <w:rsid w:val="7BA06DB0"/>
    <w:rsid w:val="7C0B5FCF"/>
    <w:rsid w:val="7C654AED"/>
    <w:rsid w:val="7C850E26"/>
    <w:rsid w:val="7CA47692"/>
    <w:rsid w:val="7D7212B3"/>
    <w:rsid w:val="7D973BCA"/>
    <w:rsid w:val="7DBD4E40"/>
    <w:rsid w:val="7DF26382"/>
    <w:rsid w:val="7DFE37F1"/>
    <w:rsid w:val="7E476FC0"/>
    <w:rsid w:val="7E4D7432"/>
    <w:rsid w:val="7F0E4ED5"/>
    <w:rsid w:val="7F380A5C"/>
    <w:rsid w:val="7F5D4709"/>
    <w:rsid w:val="7F9E1392"/>
    <w:rsid w:val="7FAB747B"/>
    <w:rsid w:val="7FCA11EC"/>
    <w:rsid w:val="7FD65DC0"/>
    <w:rsid w:val="7FE03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85"/>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spacing w:beforeAutospacing="1" w:afterAutospacing="1"/>
      <w:jc w:val="left"/>
      <w:outlineLvl w:val="3"/>
    </w:pPr>
    <w:rPr>
      <w:rFonts w:hint="eastAsia" w:ascii="宋体" w:hAnsi="宋体"/>
      <w:b/>
      <w:kern w:val="0"/>
      <w:sz w:val="24"/>
    </w:rPr>
  </w:style>
  <w:style w:type="paragraph" w:styleId="8">
    <w:name w:val="heading 5"/>
    <w:basedOn w:val="1"/>
    <w:next w:val="1"/>
    <w:unhideWhenUsed/>
    <w:qFormat/>
    <w:uiPriority w:val="0"/>
    <w:pPr>
      <w:spacing w:beforeAutospacing="1" w:afterAutospacing="1"/>
      <w:jc w:val="left"/>
      <w:outlineLvl w:val="4"/>
    </w:pPr>
    <w:rPr>
      <w:rFonts w:hint="eastAsia" w:ascii="宋体" w:hAnsi="宋体"/>
      <w:b/>
      <w:kern w:val="0"/>
      <w:sz w:val="20"/>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5"/>
    <w:qFormat/>
    <w:uiPriority w:val="99"/>
    <w:pPr>
      <w:spacing w:after="120"/>
    </w:pPr>
  </w:style>
  <w:style w:type="paragraph" w:styleId="3">
    <w:name w:val="Body Text First Indent"/>
    <w:basedOn w:val="2"/>
    <w:next w:val="1"/>
    <w:qFormat/>
    <w:uiPriority w:val="0"/>
    <w:pPr>
      <w:spacing w:line="500" w:lineRule="exact"/>
      <w:ind w:firstLine="420"/>
    </w:pPr>
    <w:rPr>
      <w:rFonts w:ascii="Calibri"/>
      <w:sz w:val="28"/>
    </w:rPr>
  </w:style>
  <w:style w:type="paragraph" w:styleId="9">
    <w:name w:val="toc 7"/>
    <w:basedOn w:val="1"/>
    <w:next w:val="1"/>
    <w:qFormat/>
    <w:uiPriority w:val="0"/>
    <w:pPr>
      <w:ind w:left="1260"/>
      <w:jc w:val="left"/>
    </w:pPr>
    <w:rPr>
      <w:rFonts w:asciiTheme="minorHAnsi" w:hAnsiTheme="minorHAnsi" w:cstheme="minorHAnsi"/>
      <w:sz w:val="18"/>
      <w:szCs w:val="18"/>
    </w:rPr>
  </w:style>
  <w:style w:type="paragraph" w:styleId="10">
    <w:name w:val="Normal Indent"/>
    <w:basedOn w:val="1"/>
    <w:unhideWhenUsed/>
    <w:qFormat/>
    <w:uiPriority w:val="99"/>
    <w:pPr>
      <w:ind w:firstLine="420" w:firstLineChars="200"/>
    </w:pPr>
  </w:style>
  <w:style w:type="paragraph" w:styleId="11">
    <w:name w:val="annotation text"/>
    <w:basedOn w:val="1"/>
    <w:qFormat/>
    <w:uiPriority w:val="0"/>
    <w:pPr>
      <w:jc w:val="left"/>
    </w:pPr>
  </w:style>
  <w:style w:type="paragraph" w:styleId="12">
    <w:name w:val="toc 5"/>
    <w:basedOn w:val="1"/>
    <w:next w:val="1"/>
    <w:qFormat/>
    <w:uiPriority w:val="0"/>
    <w:pPr>
      <w:ind w:left="840"/>
      <w:jc w:val="left"/>
    </w:pPr>
    <w:rPr>
      <w:rFonts w:asciiTheme="minorHAnsi" w:hAnsiTheme="minorHAnsi" w:cstheme="minorHAnsi"/>
      <w:sz w:val="18"/>
      <w:szCs w:val="18"/>
    </w:rPr>
  </w:style>
  <w:style w:type="paragraph" w:styleId="13">
    <w:name w:val="toc 3"/>
    <w:basedOn w:val="1"/>
    <w:next w:val="1"/>
    <w:qFormat/>
    <w:uiPriority w:val="0"/>
    <w:pPr>
      <w:ind w:left="420"/>
      <w:jc w:val="left"/>
    </w:pPr>
    <w:rPr>
      <w:rFonts w:asciiTheme="minorHAnsi" w:hAnsiTheme="minorHAnsi" w:cstheme="minorHAnsi"/>
      <w:i/>
      <w:iCs/>
      <w:sz w:val="20"/>
      <w:szCs w:val="20"/>
    </w:rPr>
  </w:style>
  <w:style w:type="paragraph" w:styleId="14">
    <w:name w:val="toc 8"/>
    <w:basedOn w:val="1"/>
    <w:next w:val="1"/>
    <w:qFormat/>
    <w:uiPriority w:val="0"/>
    <w:pPr>
      <w:ind w:left="1470"/>
      <w:jc w:val="left"/>
    </w:pPr>
    <w:rPr>
      <w:rFonts w:asciiTheme="minorHAnsi" w:hAnsiTheme="minorHAnsi" w:cstheme="minorHAnsi"/>
      <w:sz w:val="18"/>
      <w:szCs w:val="18"/>
    </w:rPr>
  </w:style>
  <w:style w:type="paragraph" w:styleId="15">
    <w:name w:val="Balloon Text"/>
    <w:basedOn w:val="1"/>
    <w:link w:val="45"/>
    <w:qFormat/>
    <w:uiPriority w:val="0"/>
    <w:rPr>
      <w:sz w:val="18"/>
      <w:szCs w:val="18"/>
    </w:rPr>
  </w:style>
  <w:style w:type="paragraph" w:styleId="16">
    <w:name w:val="footer"/>
    <w:basedOn w:val="1"/>
    <w:link w:val="44"/>
    <w:qFormat/>
    <w:uiPriority w:val="99"/>
    <w:pPr>
      <w:tabs>
        <w:tab w:val="center" w:pos="4153"/>
        <w:tab w:val="right" w:pos="8306"/>
      </w:tabs>
      <w:snapToGrid w:val="0"/>
      <w:jc w:val="left"/>
    </w:pPr>
    <w:rPr>
      <w:sz w:val="18"/>
      <w:szCs w:val="18"/>
    </w:rPr>
  </w:style>
  <w:style w:type="paragraph" w:styleId="17">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9">
    <w:name w:val="toc 4"/>
    <w:basedOn w:val="1"/>
    <w:next w:val="1"/>
    <w:qFormat/>
    <w:uiPriority w:val="0"/>
    <w:pPr>
      <w:ind w:left="630"/>
      <w:jc w:val="left"/>
    </w:pPr>
    <w:rPr>
      <w:rFonts w:asciiTheme="minorHAnsi" w:hAnsiTheme="minorHAnsi" w:cstheme="minorHAnsi"/>
      <w:sz w:val="18"/>
      <w:szCs w:val="18"/>
    </w:rPr>
  </w:style>
  <w:style w:type="paragraph" w:styleId="20">
    <w:name w:val="footnote text"/>
    <w:basedOn w:val="1"/>
    <w:qFormat/>
    <w:uiPriority w:val="0"/>
    <w:pPr>
      <w:snapToGrid w:val="0"/>
      <w:jc w:val="left"/>
    </w:pPr>
    <w:rPr>
      <w:sz w:val="18"/>
    </w:rPr>
  </w:style>
  <w:style w:type="paragraph" w:styleId="21">
    <w:name w:val="toc 6"/>
    <w:basedOn w:val="1"/>
    <w:next w:val="1"/>
    <w:qFormat/>
    <w:uiPriority w:val="0"/>
    <w:pPr>
      <w:ind w:left="1050"/>
      <w:jc w:val="left"/>
    </w:pPr>
    <w:rPr>
      <w:rFonts w:asciiTheme="minorHAnsi" w:hAnsiTheme="minorHAnsi" w:cstheme="minorHAnsi"/>
      <w:sz w:val="18"/>
      <w:szCs w:val="18"/>
    </w:rPr>
  </w:style>
  <w:style w:type="paragraph" w:styleId="22">
    <w:name w:val="toc 2"/>
    <w:basedOn w:val="1"/>
    <w:next w:val="1"/>
    <w:qFormat/>
    <w:uiPriority w:val="39"/>
    <w:pPr>
      <w:ind w:left="210"/>
      <w:jc w:val="left"/>
    </w:pPr>
    <w:rPr>
      <w:rFonts w:asciiTheme="minorHAnsi" w:hAnsiTheme="minorHAnsi" w:cstheme="minorHAnsi"/>
      <w:smallCaps/>
      <w:sz w:val="20"/>
      <w:szCs w:val="20"/>
    </w:rPr>
  </w:style>
  <w:style w:type="paragraph" w:styleId="23">
    <w:name w:val="toc 9"/>
    <w:basedOn w:val="1"/>
    <w:next w:val="1"/>
    <w:qFormat/>
    <w:uiPriority w:val="0"/>
    <w:pPr>
      <w:ind w:left="1680"/>
      <w:jc w:val="left"/>
    </w:pPr>
    <w:rPr>
      <w:rFonts w:asciiTheme="minorHAnsi" w:hAnsiTheme="minorHAnsi" w:cstheme="minorHAnsi"/>
      <w:sz w:val="18"/>
      <w:szCs w:val="18"/>
    </w:rPr>
  </w:style>
  <w:style w:type="paragraph" w:styleId="24">
    <w:name w:val="Normal (Web)"/>
    <w:basedOn w:val="1"/>
    <w:qFormat/>
    <w:uiPriority w:val="0"/>
    <w:pPr>
      <w:spacing w:beforeAutospacing="1" w:afterAutospacing="1"/>
      <w:jc w:val="left"/>
    </w:pPr>
    <w:rPr>
      <w:kern w:val="0"/>
      <w:sz w:val="24"/>
    </w:r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FollowedHyperlink"/>
    <w:basedOn w:val="27"/>
    <w:qFormat/>
    <w:uiPriority w:val="0"/>
    <w:rPr>
      <w:rFonts w:hint="eastAsia" w:ascii="宋体" w:hAnsi="宋体" w:eastAsia="宋体" w:cs="宋体"/>
      <w:color w:val="000000"/>
      <w:sz w:val="18"/>
      <w:szCs w:val="18"/>
      <w:u w:val="none"/>
    </w:rPr>
  </w:style>
  <w:style w:type="character" w:styleId="30">
    <w:name w:val="Emphasis"/>
    <w:basedOn w:val="27"/>
    <w:qFormat/>
    <w:uiPriority w:val="0"/>
    <w:rPr>
      <w:b/>
      <w:shd w:val="clear" w:color="auto" w:fill="C3CCDB"/>
    </w:rPr>
  </w:style>
  <w:style w:type="character" w:styleId="31">
    <w:name w:val="HTML Definition"/>
    <w:basedOn w:val="27"/>
    <w:qFormat/>
    <w:uiPriority w:val="0"/>
  </w:style>
  <w:style w:type="character" w:styleId="32">
    <w:name w:val="HTML Variable"/>
    <w:basedOn w:val="27"/>
    <w:qFormat/>
    <w:uiPriority w:val="0"/>
  </w:style>
  <w:style w:type="character" w:styleId="33">
    <w:name w:val="Hyperlink"/>
    <w:basedOn w:val="27"/>
    <w:qFormat/>
    <w:uiPriority w:val="99"/>
    <w:rPr>
      <w:rFonts w:hint="eastAsia" w:ascii="宋体" w:hAnsi="宋体" w:eastAsia="宋体" w:cs="宋体"/>
      <w:color w:val="000000"/>
      <w:sz w:val="18"/>
      <w:szCs w:val="18"/>
      <w:u w:val="none"/>
    </w:rPr>
  </w:style>
  <w:style w:type="character" w:styleId="34">
    <w:name w:val="HTML Code"/>
    <w:basedOn w:val="27"/>
    <w:qFormat/>
    <w:uiPriority w:val="0"/>
    <w:rPr>
      <w:rFonts w:hint="default" w:ascii="Arial" w:hAnsi="Arial" w:cs="Arial"/>
      <w:sz w:val="20"/>
    </w:rPr>
  </w:style>
  <w:style w:type="character" w:styleId="35">
    <w:name w:val="annotation reference"/>
    <w:basedOn w:val="27"/>
    <w:qFormat/>
    <w:uiPriority w:val="0"/>
    <w:rPr>
      <w:sz w:val="21"/>
      <w:szCs w:val="21"/>
    </w:rPr>
  </w:style>
  <w:style w:type="character" w:styleId="36">
    <w:name w:val="HTML Cite"/>
    <w:basedOn w:val="27"/>
    <w:qFormat/>
    <w:uiPriority w:val="0"/>
  </w:style>
  <w:style w:type="character" w:styleId="37">
    <w:name w:val="footnote reference"/>
    <w:basedOn w:val="27"/>
    <w:qFormat/>
    <w:uiPriority w:val="0"/>
    <w:rPr>
      <w:vertAlign w:val="superscript"/>
    </w:rPr>
  </w:style>
  <w:style w:type="character" w:styleId="38">
    <w:name w:val="HTML Keyboard"/>
    <w:basedOn w:val="27"/>
    <w:qFormat/>
    <w:uiPriority w:val="0"/>
    <w:rPr>
      <w:rFonts w:hint="eastAsia" w:ascii="Arial" w:hAnsi="Arial" w:cs="Arial"/>
      <w:sz w:val="20"/>
    </w:rPr>
  </w:style>
  <w:style w:type="character" w:styleId="39">
    <w:name w:val="HTML Sample"/>
    <w:basedOn w:val="27"/>
    <w:qFormat/>
    <w:uiPriority w:val="0"/>
    <w:rPr>
      <w:rFonts w:hint="default" w:ascii="Arial" w:hAnsi="Arial" w:cs="Arial"/>
    </w:rPr>
  </w:style>
  <w:style w:type="paragraph" w:customStyle="1" w:styleId="40">
    <w:name w:val="BodyText1I"/>
    <w:basedOn w:val="41"/>
    <w:qFormat/>
    <w:uiPriority w:val="0"/>
    <w:pPr>
      <w:spacing w:after="0"/>
      <w:ind w:firstLine="420" w:firstLineChars="100"/>
    </w:pPr>
    <w:rPr>
      <w:rFonts w:ascii="Times New Roman" w:hAnsi="Times New Roman"/>
    </w:rPr>
  </w:style>
  <w:style w:type="paragraph" w:customStyle="1" w:styleId="41">
    <w:name w:val="BodyText"/>
    <w:basedOn w:val="1"/>
    <w:next w:val="40"/>
    <w:qFormat/>
    <w:uiPriority w:val="0"/>
    <w:pPr>
      <w:spacing w:after="120"/>
    </w:pPr>
  </w:style>
  <w:style w:type="paragraph" w:customStyle="1" w:styleId="42">
    <w:name w:val="列出段落1"/>
    <w:basedOn w:val="1"/>
    <w:unhideWhenUsed/>
    <w:qFormat/>
    <w:uiPriority w:val="99"/>
    <w:pPr>
      <w:ind w:firstLine="420" w:firstLineChars="200"/>
    </w:pPr>
  </w:style>
  <w:style w:type="character" w:customStyle="1" w:styleId="43">
    <w:name w:val="页眉 Char"/>
    <w:basedOn w:val="27"/>
    <w:link w:val="17"/>
    <w:qFormat/>
    <w:uiPriority w:val="99"/>
    <w:rPr>
      <w:rFonts w:ascii="仿宋_GB2312" w:hAnsi="Calibri"/>
      <w:kern w:val="2"/>
      <w:sz w:val="18"/>
      <w:szCs w:val="18"/>
    </w:rPr>
  </w:style>
  <w:style w:type="character" w:customStyle="1" w:styleId="44">
    <w:name w:val="页脚 Char"/>
    <w:basedOn w:val="27"/>
    <w:link w:val="16"/>
    <w:qFormat/>
    <w:uiPriority w:val="99"/>
    <w:rPr>
      <w:rFonts w:ascii="仿宋_GB2312" w:hAnsi="Calibri"/>
      <w:kern w:val="2"/>
      <w:sz w:val="18"/>
      <w:szCs w:val="18"/>
    </w:rPr>
  </w:style>
  <w:style w:type="character" w:customStyle="1" w:styleId="45">
    <w:name w:val="批注框文本 Char"/>
    <w:basedOn w:val="27"/>
    <w:link w:val="15"/>
    <w:qFormat/>
    <w:uiPriority w:val="0"/>
    <w:rPr>
      <w:rFonts w:ascii="仿宋_GB2312" w:hAnsi="Calibri"/>
      <w:kern w:val="2"/>
      <w:sz w:val="18"/>
      <w:szCs w:val="18"/>
    </w:rPr>
  </w:style>
  <w:style w:type="character" w:customStyle="1" w:styleId="46">
    <w:name w:val="active10"/>
    <w:basedOn w:val="27"/>
    <w:qFormat/>
    <w:uiPriority w:val="0"/>
  </w:style>
  <w:style w:type="character" w:customStyle="1" w:styleId="47">
    <w:name w:val="act_nump"/>
    <w:basedOn w:val="27"/>
    <w:qFormat/>
    <w:uiPriority w:val="0"/>
  </w:style>
  <w:style w:type="character" w:customStyle="1" w:styleId="48">
    <w:name w:val="qhh_hot"/>
    <w:basedOn w:val="27"/>
    <w:qFormat/>
    <w:uiPriority w:val="0"/>
  </w:style>
  <w:style w:type="character" w:customStyle="1" w:styleId="49">
    <w:name w:val="ad"/>
    <w:basedOn w:val="27"/>
    <w:qFormat/>
    <w:uiPriority w:val="0"/>
    <w:rPr>
      <w:shd w:val="clear" w:color="auto" w:fill="ADCCFF"/>
    </w:rPr>
  </w:style>
  <w:style w:type="character" w:customStyle="1" w:styleId="50">
    <w:name w:val="ad1"/>
    <w:basedOn w:val="27"/>
    <w:qFormat/>
    <w:uiPriority w:val="0"/>
    <w:rPr>
      <w:shd w:val="clear" w:color="auto" w:fill="ADCCFF"/>
    </w:rPr>
  </w:style>
  <w:style w:type="character" w:customStyle="1" w:styleId="51">
    <w:name w:val="one_color"/>
    <w:basedOn w:val="27"/>
    <w:qFormat/>
    <w:uiPriority w:val="0"/>
  </w:style>
  <w:style w:type="character" w:customStyle="1" w:styleId="52">
    <w:name w:val="right_t"/>
    <w:basedOn w:val="27"/>
    <w:qFormat/>
    <w:uiPriority w:val="0"/>
    <w:rPr>
      <w:color w:val="353535"/>
    </w:rPr>
  </w:style>
  <w:style w:type="character" w:customStyle="1" w:styleId="53">
    <w:name w:val="qhh_name"/>
    <w:basedOn w:val="27"/>
    <w:qFormat/>
    <w:uiPriority w:val="0"/>
  </w:style>
  <w:style w:type="character" w:customStyle="1" w:styleId="54">
    <w:name w:val="info-label"/>
    <w:basedOn w:val="27"/>
    <w:qFormat/>
    <w:uiPriority w:val="0"/>
    <w:rPr>
      <w:b/>
    </w:rPr>
  </w:style>
  <w:style w:type="character" w:customStyle="1" w:styleId="55">
    <w:name w:val="info-content"/>
    <w:basedOn w:val="27"/>
    <w:qFormat/>
    <w:uiPriority w:val="0"/>
    <w:rPr>
      <w:color w:val="808080"/>
    </w:rPr>
  </w:style>
  <w:style w:type="character" w:customStyle="1" w:styleId="56">
    <w:name w:val="rank"/>
    <w:basedOn w:val="27"/>
    <w:qFormat/>
    <w:uiPriority w:val="0"/>
  </w:style>
  <w:style w:type="character" w:customStyle="1" w:styleId="57">
    <w:name w:val="img_title"/>
    <w:basedOn w:val="27"/>
    <w:qFormat/>
    <w:uiPriority w:val="0"/>
    <w:rPr>
      <w:color w:val="FFFFFF"/>
      <w:sz w:val="24"/>
      <w:szCs w:val="24"/>
    </w:rPr>
  </w:style>
  <w:style w:type="character" w:customStyle="1" w:styleId="58">
    <w:name w:val="first"/>
    <w:basedOn w:val="27"/>
    <w:qFormat/>
    <w:uiPriority w:val="0"/>
    <w:rPr>
      <w:color w:val="FFFFFF"/>
      <w:shd w:val="clear" w:color="auto" w:fill="D12324"/>
    </w:rPr>
  </w:style>
  <w:style w:type="character" w:customStyle="1" w:styleId="59">
    <w:name w:val="second"/>
    <w:basedOn w:val="27"/>
    <w:qFormat/>
    <w:uiPriority w:val="0"/>
    <w:rPr>
      <w:color w:val="FFFFFF"/>
      <w:shd w:val="clear" w:color="auto" w:fill="F0BD31"/>
    </w:rPr>
  </w:style>
  <w:style w:type="character" w:customStyle="1" w:styleId="60">
    <w:name w:val="third"/>
    <w:basedOn w:val="27"/>
    <w:qFormat/>
    <w:uiPriority w:val="0"/>
    <w:rPr>
      <w:color w:val="FFFFFF"/>
      <w:shd w:val="clear" w:color="auto" w:fill="8B8B8B"/>
    </w:rPr>
  </w:style>
  <w:style w:type="character" w:customStyle="1" w:styleId="61">
    <w:name w:val="act_time"/>
    <w:basedOn w:val="27"/>
    <w:qFormat/>
    <w:uiPriority w:val="0"/>
  </w:style>
  <w:style w:type="character" w:customStyle="1" w:styleId="62">
    <w:name w:val="two_color"/>
    <w:basedOn w:val="27"/>
    <w:qFormat/>
    <w:uiPriority w:val="0"/>
  </w:style>
  <w:style w:type="character" w:customStyle="1" w:styleId="63">
    <w:name w:val="three_color"/>
    <w:basedOn w:val="27"/>
    <w:qFormat/>
    <w:uiPriority w:val="0"/>
  </w:style>
  <w:style w:type="character" w:customStyle="1" w:styleId="64">
    <w:name w:val="img_like_num"/>
    <w:basedOn w:val="27"/>
    <w:qFormat/>
    <w:uiPriority w:val="0"/>
    <w:rPr>
      <w:color w:val="FFFFFF"/>
      <w:sz w:val="24"/>
      <w:szCs w:val="24"/>
    </w:rPr>
  </w:style>
  <w:style w:type="character" w:customStyle="1" w:styleId="65">
    <w:name w:val="left_t"/>
    <w:basedOn w:val="27"/>
    <w:qFormat/>
    <w:uiPriority w:val="0"/>
    <w:rPr>
      <w:color w:val="888888"/>
    </w:rPr>
  </w:style>
  <w:style w:type="character" w:customStyle="1" w:styleId="66">
    <w:name w:val="current"/>
    <w:basedOn w:val="27"/>
    <w:qFormat/>
    <w:uiPriority w:val="0"/>
    <w:rPr>
      <w:color w:val="00C1DE"/>
    </w:rPr>
  </w:style>
  <w:style w:type="character" w:customStyle="1" w:styleId="67">
    <w:name w:val="current1"/>
    <w:basedOn w:val="27"/>
    <w:qFormat/>
    <w:uiPriority w:val="0"/>
    <w:rPr>
      <w:color w:val="00C1DE"/>
    </w:rPr>
  </w:style>
  <w:style w:type="paragraph" w:customStyle="1" w:styleId="68">
    <w:name w:val="正文首行缩进1"/>
    <w:basedOn w:val="2"/>
    <w:qFormat/>
    <w:uiPriority w:val="0"/>
    <w:pPr>
      <w:spacing w:after="0" w:line="560" w:lineRule="exact"/>
      <w:ind w:firstLine="200" w:firstLineChars="200"/>
    </w:pPr>
    <w:rPr>
      <w:rFonts w:ascii="Times New Roman" w:hAnsi="Times New Roman" w:eastAsia="仿宋_GB2312"/>
      <w:sz w:val="32"/>
      <w:szCs w:val="22"/>
      <w:u w:color="000000"/>
    </w:rPr>
  </w:style>
  <w:style w:type="character" w:customStyle="1" w:styleId="69">
    <w:name w:val="before3"/>
    <w:basedOn w:val="27"/>
    <w:qFormat/>
    <w:uiPriority w:val="0"/>
  </w:style>
  <w:style w:type="character" w:customStyle="1" w:styleId="70">
    <w:name w:val="tj"/>
    <w:basedOn w:val="27"/>
    <w:qFormat/>
    <w:uiPriority w:val="0"/>
    <w:rPr>
      <w:color w:val="FFFFFF"/>
      <w:sz w:val="21"/>
      <w:szCs w:val="21"/>
      <w:shd w:val="clear" w:color="auto" w:fill="348CEC"/>
    </w:rPr>
  </w:style>
  <w:style w:type="character" w:customStyle="1" w:styleId="71">
    <w:name w:val="lb-left"/>
    <w:basedOn w:val="27"/>
    <w:qFormat/>
    <w:uiPriority w:val="0"/>
  </w:style>
  <w:style w:type="character" w:customStyle="1" w:styleId="72">
    <w:name w:val="lb-right"/>
    <w:basedOn w:val="27"/>
    <w:qFormat/>
    <w:uiPriority w:val="0"/>
  </w:style>
  <w:style w:type="character" w:customStyle="1" w:styleId="73">
    <w:name w:val="origin"/>
    <w:basedOn w:val="27"/>
    <w:qFormat/>
    <w:uiPriority w:val="0"/>
  </w:style>
  <w:style w:type="character" w:customStyle="1" w:styleId="74">
    <w:name w:val="search-kw2"/>
    <w:basedOn w:val="27"/>
    <w:qFormat/>
    <w:uiPriority w:val="0"/>
  </w:style>
  <w:style w:type="character" w:customStyle="1" w:styleId="75">
    <w:name w:val="正文文本 Char"/>
    <w:basedOn w:val="27"/>
    <w:link w:val="2"/>
    <w:qFormat/>
    <w:uiPriority w:val="0"/>
    <w:rPr>
      <w:kern w:val="2"/>
      <w:sz w:val="21"/>
      <w:szCs w:val="21"/>
    </w:rPr>
  </w:style>
  <w:style w:type="character" w:customStyle="1" w:styleId="76">
    <w:name w:val="bsharetext"/>
    <w:basedOn w:val="27"/>
    <w:qFormat/>
    <w:uiPriority w:val="0"/>
  </w:style>
  <w:style w:type="character" w:customStyle="1" w:styleId="77">
    <w:name w:val="fontborder"/>
    <w:basedOn w:val="27"/>
    <w:qFormat/>
    <w:uiPriority w:val="0"/>
    <w:rPr>
      <w:bdr w:val="single" w:color="000000" w:sz="6" w:space="0"/>
    </w:rPr>
  </w:style>
  <w:style w:type="character" w:customStyle="1" w:styleId="78">
    <w:name w:val="fontstrikethrough"/>
    <w:basedOn w:val="27"/>
    <w:qFormat/>
    <w:uiPriority w:val="0"/>
    <w:rPr>
      <w:strike/>
    </w:rPr>
  </w:style>
  <w:style w:type="character" w:customStyle="1" w:styleId="79">
    <w:name w:val="spa1"/>
    <w:basedOn w:val="27"/>
    <w:qFormat/>
    <w:uiPriority w:val="0"/>
  </w:style>
  <w:style w:type="character" w:customStyle="1" w:styleId="80">
    <w:name w:val="spa3"/>
    <w:basedOn w:val="27"/>
    <w:qFormat/>
    <w:uiPriority w:val="0"/>
  </w:style>
  <w:style w:type="character" w:customStyle="1" w:styleId="81">
    <w:name w:val="spa4"/>
    <w:basedOn w:val="27"/>
    <w:qFormat/>
    <w:uiPriority w:val="0"/>
  </w:style>
  <w:style w:type="character" w:customStyle="1" w:styleId="82">
    <w:name w:val="spa12"/>
    <w:basedOn w:val="27"/>
    <w:qFormat/>
    <w:uiPriority w:val="0"/>
  </w:style>
  <w:style w:type="character" w:customStyle="1" w:styleId="83">
    <w:name w:val="NormalCharacter"/>
    <w:semiHidden/>
    <w:qFormat/>
    <w:uiPriority w:val="0"/>
  </w:style>
  <w:style w:type="paragraph" w:customStyle="1" w:styleId="84">
    <w:name w:val="TOC 标题1"/>
    <w:basedOn w:val="4"/>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85">
    <w:name w:val="标题 3 Char"/>
    <w:basedOn w:val="27"/>
    <w:link w:val="6"/>
    <w:semiHidden/>
    <w:qFormat/>
    <w:uiPriority w:val="0"/>
    <w:rPr>
      <w:rFonts w:ascii="仿宋_GB2312"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52891-7132-4871-B998-2478DFF73DA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3359</Words>
  <Characters>19148</Characters>
  <Lines>159</Lines>
  <Paragraphs>44</Paragraphs>
  <TotalTime>51</TotalTime>
  <ScaleCrop>false</ScaleCrop>
  <LinksUpToDate>false</LinksUpToDate>
  <CharactersWithSpaces>22463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2020-12-06T03:20:00Z</dcterms:created>
  <dc:creator>郑秀</dc:creator>
  <cp:lastModifiedBy>Lalalarva、</cp:lastModifiedBy>
  <cp:lastPrinted>2021-02-26T02:56:00Z</cp:lastPrinted>
  <dcterms:modified xsi:type="dcterms:W3CDTF">2021-12-01T06:02:14Z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F98942F5069746B2861F880BF0A3B7E9</vt:lpwstr>
  </property>
</Properties>
</file>