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附件2：</w:t>
      </w:r>
    </w:p>
    <w:p>
      <w:pPr>
        <w:spacing w:after="156" w:afterLines="50" w:line="560" w:lineRule="exact"/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/>
          <w:b/>
          <w:sz w:val="36"/>
          <w:szCs w:val="36"/>
        </w:rPr>
        <w:t>2020年省重点研发计划项目资金（26县绿色技术应用项目）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860"/>
        <w:gridCol w:w="3420"/>
        <w:gridCol w:w="2340"/>
        <w:gridCol w:w="2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承担单位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补助金额（万元）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860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乌牛早茶资源多层次利用关键技术研发及其降脂减肥评价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spacing w:line="48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浙江三农茶业有限公司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120.00</w:t>
            </w:r>
          </w:p>
        </w:tc>
        <w:tc>
          <w:tcPr>
            <w:tcW w:w="2366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其中：54万元由承担单位拨付给参与单位中国计量大学</w:t>
            </w: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022DC"/>
    <w:rsid w:val="266218C1"/>
    <w:rsid w:val="336D7460"/>
    <w:rsid w:val="63B022DC"/>
    <w:rsid w:val="74A9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2020-02-26T09:56:00Z</dcterms:created>
  <dc:creator>呆蛙</dc:creator>
  <cp:lastModifiedBy>呆蛙</cp:lastModifiedBy>
  <dcterms:modified xsi:type="dcterms:W3CDTF">2020-02-26T09:57:05Z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