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480" w:lineRule="auto"/>
        <w:rPr>
          <w:rFonts w:hint="eastAsia" w:ascii="方正小标宋_GBK" w:hAnsi="方正小标宋_GBK" w:eastAsia="方正小标宋_GBK" w:cs="方正小标宋_GBK"/>
          <w:b w:val="0"/>
          <w:bCs/>
        </w:rPr>
      </w:pPr>
      <w:bookmarkStart w:id="1220" w:name="_GoBack"/>
      <w:bookmarkEnd w:id="1220"/>
      <w:r>
        <w:rPr>
          <w:rFonts w:hint="eastAsia" w:ascii="方正小标宋_GBK" w:hAnsi="方正小标宋_GBK" w:eastAsia="方正小标宋_GBK" w:cs="方正小标宋_GBK"/>
          <w:b w:val="0"/>
          <w:bCs/>
        </w:rPr>
        <w:t>永嘉县数字经济发展“十四五”规划</w:t>
      </w:r>
    </w:p>
    <w:p>
      <w:pPr>
        <w:pStyle w:val="25"/>
        <w:spacing w:line="480" w:lineRule="auto"/>
        <w:rPr>
          <w:rFonts w:hint="eastAsia" w:ascii="楷体" w:hAnsi="楷体" w:eastAsia="楷体" w:cs="楷体"/>
          <w:b w:val="0"/>
          <w:bCs/>
        </w:rPr>
      </w:pPr>
      <w:r>
        <w:rPr>
          <w:rFonts w:hint="eastAsia" w:ascii="楷体" w:hAnsi="楷体" w:eastAsia="楷体" w:cs="楷体"/>
          <w:b w:val="0"/>
          <w:bCs/>
        </w:rPr>
        <w:t>（</w:t>
      </w:r>
      <w:r>
        <w:rPr>
          <w:rFonts w:hint="eastAsia" w:ascii="楷体" w:hAnsi="楷体" w:eastAsia="楷体" w:cs="楷体"/>
          <w:b w:val="0"/>
          <w:bCs/>
          <w:lang w:eastAsia="zh-CN"/>
        </w:rPr>
        <w:t>征求意见</w:t>
      </w:r>
      <w:r>
        <w:rPr>
          <w:rFonts w:hint="eastAsia" w:ascii="楷体" w:hAnsi="楷体" w:eastAsia="楷体" w:cs="楷体"/>
          <w:b w:val="0"/>
          <w:bCs/>
        </w:rPr>
        <w:t>稿）</w:t>
      </w:r>
    </w:p>
    <w:p>
      <w:pPr>
        <w:spacing w:line="480" w:lineRule="auto"/>
        <w:ind w:firstLine="643"/>
        <w:rPr>
          <w:rFonts w:ascii="黑体" w:hAnsi="黑体" w:eastAsia="黑体"/>
          <w:b/>
          <w:sz w:val="32"/>
          <w:szCs w:val="32"/>
        </w:rPr>
      </w:pPr>
    </w:p>
    <w:p>
      <w:pPr>
        <w:ind w:firstLine="643"/>
        <w:rPr>
          <w:rFonts w:ascii="黑体" w:hAnsi="黑体" w:eastAsia="黑体"/>
          <w:b/>
          <w:sz w:val="32"/>
          <w:szCs w:val="32"/>
        </w:rPr>
      </w:pPr>
    </w:p>
    <w:p>
      <w:pPr>
        <w:ind w:firstLine="643"/>
        <w:rPr>
          <w:rFonts w:ascii="黑体" w:hAnsi="黑体" w:eastAsia="黑体"/>
          <w:b/>
          <w:sz w:val="32"/>
          <w:szCs w:val="32"/>
        </w:rPr>
      </w:pPr>
    </w:p>
    <w:p>
      <w:pPr>
        <w:ind w:firstLine="643"/>
        <w:rPr>
          <w:rFonts w:ascii="黑体" w:hAnsi="黑体" w:eastAsia="黑体"/>
          <w:b/>
          <w:sz w:val="32"/>
          <w:szCs w:val="32"/>
        </w:rPr>
      </w:pPr>
    </w:p>
    <w:p>
      <w:pPr>
        <w:ind w:firstLine="643"/>
        <w:rPr>
          <w:rFonts w:ascii="黑体" w:hAnsi="黑体" w:eastAsia="黑体"/>
          <w:b/>
          <w:sz w:val="32"/>
          <w:szCs w:val="32"/>
        </w:rPr>
      </w:pPr>
    </w:p>
    <w:p>
      <w:pPr>
        <w:ind w:firstLine="643"/>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pStyle w:val="28"/>
        <w:spacing w:line="560" w:lineRule="exact"/>
        <w:ind w:left="600" w:firstLine="627"/>
        <w:rPr>
          <w:rFonts w:ascii="黑体" w:hAnsi="黑体" w:eastAsia="黑体"/>
          <w:b/>
          <w:sz w:val="32"/>
          <w:szCs w:val="32"/>
        </w:rPr>
      </w:pPr>
    </w:p>
    <w:p>
      <w:pPr>
        <w:ind w:firstLine="643"/>
        <w:rPr>
          <w:rFonts w:ascii="黑体" w:hAnsi="黑体" w:eastAsia="黑体"/>
          <w:b/>
          <w:sz w:val="32"/>
          <w:szCs w:val="32"/>
        </w:rPr>
      </w:pPr>
    </w:p>
    <w:p>
      <w:pPr>
        <w:ind w:firstLine="0" w:firstLineChars="0"/>
        <w:jc w:val="center"/>
        <w:rPr>
          <w:rFonts w:ascii="黑体" w:hAnsi="黑体" w:eastAsia="黑体"/>
          <w:b/>
          <w:spacing w:val="20"/>
          <w:sz w:val="32"/>
          <w:szCs w:val="32"/>
        </w:rPr>
      </w:pPr>
      <w:r>
        <w:rPr>
          <w:rFonts w:hint="eastAsia" w:ascii="黑体" w:hAnsi="黑体" w:eastAsia="黑体"/>
          <w:b/>
          <w:spacing w:val="20"/>
          <w:sz w:val="32"/>
          <w:szCs w:val="32"/>
        </w:rPr>
        <w:t>永嘉县经济和信息化局</w:t>
      </w:r>
    </w:p>
    <w:p>
      <w:pPr>
        <w:ind w:firstLine="0" w:firstLineChars="0"/>
        <w:jc w:val="center"/>
        <w:rPr>
          <w:rFonts w:ascii="黑体" w:hAnsi="黑体" w:eastAsia="黑体"/>
          <w:b/>
          <w:sz w:val="32"/>
          <w:szCs w:val="32"/>
        </w:rPr>
      </w:pPr>
      <w:r>
        <w:rPr>
          <w:rFonts w:hint="eastAsia" w:ascii="黑体" w:hAnsi="黑体" w:eastAsia="黑体"/>
          <w:b/>
          <w:sz w:val="32"/>
          <w:szCs w:val="32"/>
        </w:rPr>
        <w:t>浙江省图灵互联网研究院</w:t>
      </w:r>
    </w:p>
    <w:p>
      <w:pPr>
        <w:ind w:firstLine="0" w:firstLineChars="0"/>
        <w:jc w:val="center"/>
        <w:rPr>
          <w:rFonts w:ascii="仿宋" w:hAnsi="仿宋" w:eastAsia="仿宋"/>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644" w:right="1406" w:bottom="1644" w:left="1644" w:header="851" w:footer="992" w:gutter="0"/>
          <w:pgNumType w:fmt="upperRoman"/>
          <w:cols w:space="425" w:num="1"/>
          <w:titlePg/>
          <w:docGrid w:type="lines" w:linePitch="408" w:charSpace="0"/>
        </w:sectPr>
      </w:pPr>
      <w:r>
        <w:rPr>
          <w:rFonts w:hint="eastAsia" w:ascii="黑体" w:hAnsi="黑体" w:eastAsia="黑体"/>
          <w:b/>
          <w:sz w:val="32"/>
          <w:szCs w:val="32"/>
        </w:rPr>
        <w:t>二〇二一年十二月</w:t>
      </w:r>
    </w:p>
    <w:p>
      <w:pPr>
        <w:pStyle w:val="27"/>
        <w:spacing w:before="190" w:beforeLines="50" w:after="190" w:afterLines="50" w:line="560" w:lineRule="exact"/>
        <w:ind w:firstLine="0" w:firstLineChars="0"/>
        <w:jc w:val="center"/>
        <w:rPr>
          <w:rFonts w:ascii="黑体" w:hAnsi="黑体" w:eastAsia="黑体" w:cs="黑体"/>
          <w:kern w:val="44"/>
          <w:sz w:val="32"/>
          <w:szCs w:val="32"/>
        </w:rPr>
      </w:pPr>
      <w:bookmarkStart w:id="0" w:name="_Toc13592"/>
      <w:bookmarkStart w:id="1" w:name="_Toc13413"/>
      <w:bookmarkStart w:id="2" w:name="_Toc25084"/>
      <w:bookmarkStart w:id="3" w:name="_Toc2233"/>
      <w:bookmarkStart w:id="4" w:name="_Toc26737"/>
      <w:bookmarkStart w:id="5" w:name="_Toc11729"/>
      <w:bookmarkStart w:id="6" w:name="_Toc17850"/>
      <w:bookmarkStart w:id="7" w:name="_Toc3803"/>
      <w:bookmarkStart w:id="8" w:name="_Toc15931"/>
      <w:bookmarkStart w:id="9" w:name="_Toc15821"/>
      <w:bookmarkStart w:id="10" w:name="_Toc15897"/>
      <w:bookmarkStart w:id="11" w:name="_Toc1805"/>
      <w:bookmarkStart w:id="12" w:name="_Toc19786"/>
      <w:bookmarkStart w:id="13" w:name="_Toc30640"/>
      <w:bookmarkStart w:id="14" w:name="_Toc16799"/>
      <w:bookmarkStart w:id="15" w:name="_Toc19011"/>
      <w:bookmarkStart w:id="16" w:name="_Toc8170"/>
      <w:bookmarkStart w:id="17" w:name="_Toc19913"/>
      <w:bookmarkStart w:id="18" w:name="_Toc26063"/>
      <w:bookmarkStart w:id="19" w:name="_Toc13443"/>
      <w:bookmarkStart w:id="20" w:name="_Toc1709"/>
      <w:bookmarkStart w:id="21" w:name="_Toc675"/>
      <w:bookmarkStart w:id="22" w:name="_Toc1323"/>
      <w:bookmarkStart w:id="23" w:name="_Toc15982"/>
      <w:bookmarkStart w:id="24" w:name="_Toc4204"/>
      <w:bookmarkStart w:id="25" w:name="_Toc3967"/>
      <w:bookmarkStart w:id="26" w:name="_Toc17933"/>
      <w:bookmarkStart w:id="27" w:name="_Toc11010"/>
      <w:bookmarkStart w:id="28" w:name="_Toc18467"/>
      <w:r>
        <w:rPr>
          <w:rFonts w:hint="eastAsia" w:ascii="黑体" w:hAnsi="黑体" w:eastAsia="黑体" w:cs="黑体"/>
          <w:kern w:val="44"/>
          <w:sz w:val="32"/>
          <w:szCs w:val="32"/>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spacing w:line="240" w:lineRule="auto"/>
        <w:ind w:firstLine="640"/>
        <w:rPr>
          <w:rFonts w:ascii="仿宋" w:hAnsi="仿宋" w:eastAsia="仿宋"/>
          <w:sz w:val="32"/>
          <w:szCs w:val="32"/>
          <w:lang w:val="zh-CN"/>
        </w:rPr>
      </w:pPr>
      <w:r>
        <w:rPr>
          <w:rFonts w:hint="eastAsia" w:ascii="仿宋" w:hAnsi="仿宋" w:eastAsia="仿宋"/>
          <w:sz w:val="32"/>
          <w:szCs w:val="32"/>
          <w:lang w:val="zh-CN"/>
        </w:rPr>
        <w:t>当前，以互联网为依托，数据资源为核心要素，信息技术为内生动力，融合创新为典型特征的数字经济革故鼎新、大势已现，对经济辐射带动作用均呈现爆发式增长态势。数字经济作为一种新的经济形态，正成为转型升级的重要驱动力，也是新一轮产业竞争的制高点。“十四五（2021—2025年）”是“两个一百年”奋斗目标的历史交汇期，也是数字经济发展的关键期。发展数字经济，把握全球新一轮科技革命和产业变革机遇，推动经济高质量发展，实现新旧动能顺畅接续转换，是永嘉县“十四五”时期的重要任务。</w:t>
      </w:r>
    </w:p>
    <w:p>
      <w:pPr>
        <w:spacing w:line="240" w:lineRule="auto"/>
        <w:ind w:firstLine="640"/>
        <w:rPr>
          <w:lang w:val="zh-CN"/>
        </w:rPr>
        <w:sectPr>
          <w:footerReference r:id="rId11" w:type="default"/>
          <w:pgSz w:w="11906" w:h="16838"/>
          <w:pgMar w:top="1644" w:right="1644" w:bottom="1644" w:left="1644" w:header="851" w:footer="992" w:gutter="0"/>
          <w:pgNumType w:start="1"/>
          <w:cols w:space="425" w:num="1"/>
          <w:docGrid w:type="lines" w:linePitch="381" w:charSpace="0"/>
        </w:sectPr>
      </w:pPr>
      <w:r>
        <w:rPr>
          <w:rFonts w:hint="eastAsia" w:ascii="仿宋" w:hAnsi="仿宋" w:eastAsia="仿宋"/>
          <w:sz w:val="32"/>
          <w:szCs w:val="32"/>
          <w:lang w:val="zh-CN"/>
        </w:rPr>
        <w:t>为了贯彻落实中央和省市数字经济战略部署，根据《浙江省数字经济发展“十四五”规划》《温州市数字经济发展“十四五”规划》和《永嘉县国民经济和社会发展第十四个五年规划和二〇三五年远景目标纲要》等相关文件,特制定《永嘉县数字经济发展“十四五”规划》，作为指导永嘉县未来五年数字经济发展的纲领性文件，规划期为2021-2025年。</w:t>
      </w:r>
    </w:p>
    <w:sdt>
      <w:sdtPr>
        <w:rPr>
          <w:rFonts w:hint="eastAsia" w:ascii="黑体" w:hAnsi="黑体" w:eastAsia="黑体" w:cs="黑体"/>
          <w:kern w:val="2"/>
          <w:sz w:val="32"/>
          <w:szCs w:val="32"/>
          <w:lang w:val="en-US" w:eastAsia="zh-CN" w:bidi="ar-SA"/>
        </w:rPr>
        <w:id w:val="147473744"/>
        <w15:color w:val="DBDBDB"/>
        <w:docPartObj>
          <w:docPartGallery w:val="Table of Contents"/>
          <w:docPartUnique/>
        </w:docPartObj>
      </w:sdtPr>
      <w:sdtEndPr>
        <w:rPr>
          <w:rFonts w:hint="eastAsia" w:ascii="Times New Roman" w:hAnsi="Times New Roman" w:eastAsia="宋体" w:cs="Times New Roman"/>
          <w:kern w:val="2"/>
          <w:sz w:val="21"/>
          <w:szCs w:val="32"/>
          <w:lang w:val="zh-CN"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TOC \o "1-3" \h \u </w:instrText>
          </w:r>
          <w:r>
            <w:rPr>
              <w:sz w:val="28"/>
              <w:szCs w:val="28"/>
              <w:lang w:val="zh-CN"/>
            </w:rPr>
            <w:fldChar w:fldCharType="separate"/>
          </w:r>
          <w:r>
            <w:rPr>
              <w:sz w:val="28"/>
              <w:szCs w:val="28"/>
              <w:lang w:val="zh-CN"/>
            </w:rPr>
            <w:fldChar w:fldCharType="begin"/>
          </w:r>
          <w:r>
            <w:rPr>
              <w:sz w:val="28"/>
              <w:szCs w:val="28"/>
              <w:lang w:val="zh-CN"/>
            </w:rPr>
            <w:instrText xml:space="preserve"> HYPERLINK \l _Toc19190 </w:instrText>
          </w:r>
          <w:r>
            <w:rPr>
              <w:sz w:val="28"/>
              <w:szCs w:val="28"/>
              <w:lang w:val="zh-CN"/>
            </w:rPr>
            <w:fldChar w:fldCharType="separate"/>
          </w:r>
          <w:r>
            <w:rPr>
              <w:rFonts w:hint="eastAsia" w:ascii="黑体" w:hAnsi="黑体" w:eastAsia="黑体" w:cs="黑体"/>
              <w:kern w:val="44"/>
              <w:sz w:val="28"/>
              <w:szCs w:val="28"/>
            </w:rPr>
            <w:t>一、现实基础</w:t>
          </w:r>
          <w:r>
            <w:rPr>
              <w:sz w:val="28"/>
              <w:szCs w:val="28"/>
            </w:rPr>
            <w:tab/>
          </w:r>
          <w:r>
            <w:rPr>
              <w:sz w:val="28"/>
              <w:szCs w:val="28"/>
            </w:rPr>
            <w:fldChar w:fldCharType="begin"/>
          </w:r>
          <w:r>
            <w:rPr>
              <w:sz w:val="28"/>
              <w:szCs w:val="28"/>
            </w:rPr>
            <w:instrText xml:space="preserve"> PAGEREF _Toc19190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_Toc21039 </w:instrText>
          </w:r>
          <w:r>
            <w:rPr>
              <w:sz w:val="28"/>
              <w:szCs w:val="28"/>
              <w:lang w:val="zh-CN"/>
            </w:rPr>
            <w:fldChar w:fldCharType="separate"/>
          </w:r>
          <w:r>
            <w:rPr>
              <w:rFonts w:hint="eastAsia" w:ascii="楷体" w:hAnsi="楷体" w:eastAsia="楷体" w:cs="楷体"/>
              <w:sz w:val="28"/>
              <w:szCs w:val="28"/>
            </w:rPr>
            <w:t>（一）发展现状</w:t>
          </w:r>
          <w:r>
            <w:rPr>
              <w:sz w:val="28"/>
              <w:szCs w:val="28"/>
            </w:rPr>
            <w:tab/>
          </w:r>
          <w:r>
            <w:rPr>
              <w:sz w:val="28"/>
              <w:szCs w:val="28"/>
            </w:rPr>
            <w:fldChar w:fldCharType="begin"/>
          </w:r>
          <w:r>
            <w:rPr>
              <w:sz w:val="28"/>
              <w:szCs w:val="28"/>
            </w:rPr>
            <w:instrText xml:space="preserve"> PAGEREF _Toc21039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_Toc2825 </w:instrText>
          </w:r>
          <w:r>
            <w:rPr>
              <w:sz w:val="28"/>
              <w:szCs w:val="28"/>
              <w:lang w:val="zh-CN"/>
            </w:rPr>
            <w:fldChar w:fldCharType="separate"/>
          </w:r>
          <w:r>
            <w:rPr>
              <w:rFonts w:hint="eastAsia" w:ascii="仿宋" w:hAnsi="仿宋" w:eastAsia="仿宋" w:cs="仿宋_GB2312"/>
              <w:bCs/>
              <w:kern w:val="0"/>
              <w:sz w:val="28"/>
              <w:szCs w:val="28"/>
            </w:rPr>
            <w:t>1.总体水平稳步提升，发展环境日益优化</w:t>
          </w:r>
          <w:r>
            <w:rPr>
              <w:sz w:val="28"/>
              <w:szCs w:val="28"/>
            </w:rPr>
            <w:tab/>
          </w:r>
          <w:r>
            <w:rPr>
              <w:sz w:val="28"/>
              <w:szCs w:val="28"/>
            </w:rPr>
            <w:fldChar w:fldCharType="begin"/>
          </w:r>
          <w:r>
            <w:rPr>
              <w:sz w:val="28"/>
              <w:szCs w:val="28"/>
            </w:rPr>
            <w:instrText xml:space="preserve"> PAGEREF _Toc2825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_Toc28699 </w:instrText>
          </w:r>
          <w:r>
            <w:rPr>
              <w:sz w:val="28"/>
              <w:szCs w:val="28"/>
              <w:lang w:val="zh-CN"/>
            </w:rPr>
            <w:fldChar w:fldCharType="separate"/>
          </w:r>
          <w:r>
            <w:rPr>
              <w:rFonts w:hint="eastAsia" w:ascii="仿宋" w:hAnsi="仿宋" w:eastAsia="仿宋" w:cs="仿宋_GB2312"/>
              <w:bCs/>
              <w:kern w:val="0"/>
              <w:sz w:val="28"/>
              <w:szCs w:val="28"/>
            </w:rPr>
            <w:t>2.数字产业增长较快，招商引资卓有成效</w:t>
          </w:r>
          <w:r>
            <w:rPr>
              <w:sz w:val="28"/>
              <w:szCs w:val="28"/>
            </w:rPr>
            <w:tab/>
          </w:r>
          <w:r>
            <w:rPr>
              <w:sz w:val="28"/>
              <w:szCs w:val="28"/>
            </w:rPr>
            <w:fldChar w:fldCharType="begin"/>
          </w:r>
          <w:r>
            <w:rPr>
              <w:sz w:val="28"/>
              <w:szCs w:val="28"/>
            </w:rPr>
            <w:instrText xml:space="preserve"> PAGEREF _Toc28699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_Toc24691 </w:instrText>
          </w:r>
          <w:r>
            <w:rPr>
              <w:sz w:val="28"/>
              <w:szCs w:val="28"/>
              <w:lang w:val="zh-CN"/>
            </w:rPr>
            <w:fldChar w:fldCharType="separate"/>
          </w:r>
          <w:r>
            <w:rPr>
              <w:rFonts w:hint="eastAsia" w:ascii="仿宋" w:hAnsi="仿宋" w:eastAsia="仿宋" w:cs="仿宋_GB2312"/>
              <w:bCs/>
              <w:kern w:val="0"/>
              <w:sz w:val="28"/>
              <w:szCs w:val="28"/>
            </w:rPr>
            <w:t>3.两化融合深入推进，数字改造成效良好</w:t>
          </w:r>
          <w:r>
            <w:rPr>
              <w:sz w:val="28"/>
              <w:szCs w:val="28"/>
            </w:rPr>
            <w:tab/>
          </w:r>
          <w:r>
            <w:rPr>
              <w:sz w:val="28"/>
              <w:szCs w:val="28"/>
            </w:rPr>
            <w:fldChar w:fldCharType="begin"/>
          </w:r>
          <w:r>
            <w:rPr>
              <w:sz w:val="28"/>
              <w:szCs w:val="28"/>
            </w:rPr>
            <w:instrText xml:space="preserve"> PAGEREF _Toc24691 \h </w:instrText>
          </w:r>
          <w:r>
            <w:rPr>
              <w:sz w:val="28"/>
              <w:szCs w:val="28"/>
            </w:rPr>
            <w:fldChar w:fldCharType="separate"/>
          </w:r>
          <w:r>
            <w:rPr>
              <w:sz w:val="28"/>
              <w:szCs w:val="28"/>
            </w:rPr>
            <w:t>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_Toc1395 </w:instrText>
          </w:r>
          <w:r>
            <w:rPr>
              <w:sz w:val="28"/>
              <w:szCs w:val="28"/>
              <w:lang w:val="zh-CN"/>
            </w:rPr>
            <w:fldChar w:fldCharType="separate"/>
          </w:r>
          <w:r>
            <w:rPr>
              <w:rFonts w:hint="eastAsia" w:ascii="仿宋" w:hAnsi="仿宋" w:eastAsia="仿宋" w:cs="仿宋_GB2312"/>
              <w:bCs/>
              <w:kern w:val="0"/>
              <w:sz w:val="28"/>
              <w:szCs w:val="28"/>
            </w:rPr>
            <w:t>4.电子商务快速发展，新型业态不断涌现</w:t>
          </w:r>
          <w:r>
            <w:rPr>
              <w:sz w:val="28"/>
              <w:szCs w:val="28"/>
            </w:rPr>
            <w:tab/>
          </w:r>
          <w:r>
            <w:rPr>
              <w:sz w:val="28"/>
              <w:szCs w:val="28"/>
            </w:rPr>
            <w:fldChar w:fldCharType="begin"/>
          </w:r>
          <w:r>
            <w:rPr>
              <w:sz w:val="28"/>
              <w:szCs w:val="28"/>
            </w:rPr>
            <w:instrText xml:space="preserve"> PAGEREF _Toc1395 \h </w:instrText>
          </w:r>
          <w:r>
            <w:rPr>
              <w:sz w:val="28"/>
              <w:szCs w:val="28"/>
            </w:rPr>
            <w:fldChar w:fldCharType="separate"/>
          </w:r>
          <w:r>
            <w:rPr>
              <w:sz w:val="28"/>
              <w:szCs w:val="28"/>
            </w:rPr>
            <w:t>2</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_Toc30284 </w:instrText>
          </w:r>
          <w:r>
            <w:rPr>
              <w:sz w:val="28"/>
              <w:szCs w:val="28"/>
              <w:lang w:val="zh-CN"/>
            </w:rPr>
            <w:fldChar w:fldCharType="separate"/>
          </w:r>
          <w:r>
            <w:rPr>
              <w:rFonts w:hint="eastAsia" w:ascii="仿宋" w:hAnsi="仿宋" w:eastAsia="仿宋" w:cs="仿宋_GB2312"/>
              <w:bCs/>
              <w:kern w:val="0"/>
              <w:sz w:val="28"/>
              <w:szCs w:val="28"/>
            </w:rPr>
            <w:t>5.网络设施全面升级，数字治理加快推进</w:t>
          </w:r>
          <w:r>
            <w:rPr>
              <w:sz w:val="28"/>
              <w:szCs w:val="28"/>
            </w:rPr>
            <w:tab/>
          </w:r>
          <w:r>
            <w:rPr>
              <w:sz w:val="28"/>
              <w:szCs w:val="28"/>
            </w:rPr>
            <w:fldChar w:fldCharType="begin"/>
          </w:r>
          <w:r>
            <w:rPr>
              <w:sz w:val="28"/>
              <w:szCs w:val="28"/>
            </w:rPr>
            <w:instrText xml:space="preserve"> PAGEREF _Toc30284 \h </w:instrText>
          </w:r>
          <w:r>
            <w:rPr>
              <w:sz w:val="28"/>
              <w:szCs w:val="28"/>
            </w:rPr>
            <w:fldChar w:fldCharType="separate"/>
          </w:r>
          <w:r>
            <w:rPr>
              <w:sz w:val="28"/>
              <w:szCs w:val="28"/>
            </w:rPr>
            <w:t>2</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_Toc32357 </w:instrText>
          </w:r>
          <w:r>
            <w:rPr>
              <w:sz w:val="28"/>
              <w:szCs w:val="28"/>
              <w:lang w:val="zh-CN"/>
            </w:rPr>
            <w:fldChar w:fldCharType="separate"/>
          </w:r>
          <w:r>
            <w:rPr>
              <w:rFonts w:hint="eastAsia" w:ascii="楷体" w:hAnsi="楷体" w:eastAsia="楷体" w:cs="楷体"/>
              <w:sz w:val="28"/>
              <w:szCs w:val="28"/>
            </w:rPr>
            <w:t>（二）存在问题</w:t>
          </w:r>
          <w:r>
            <w:rPr>
              <w:sz w:val="28"/>
              <w:szCs w:val="28"/>
            </w:rPr>
            <w:tab/>
          </w:r>
          <w:r>
            <w:rPr>
              <w:sz w:val="28"/>
              <w:szCs w:val="28"/>
            </w:rPr>
            <w:fldChar w:fldCharType="begin"/>
          </w:r>
          <w:r>
            <w:rPr>
              <w:sz w:val="28"/>
              <w:szCs w:val="28"/>
            </w:rPr>
            <w:instrText xml:space="preserve"> PAGEREF _Toc32357 \h </w:instrText>
          </w:r>
          <w:r>
            <w:rPr>
              <w:sz w:val="28"/>
              <w:szCs w:val="28"/>
            </w:rPr>
            <w:fldChar w:fldCharType="separate"/>
          </w:r>
          <w:r>
            <w:rPr>
              <w:sz w:val="28"/>
              <w:szCs w:val="28"/>
            </w:rPr>
            <w:t>3</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_Toc10139 </w:instrText>
          </w:r>
          <w:r>
            <w:rPr>
              <w:sz w:val="28"/>
              <w:szCs w:val="28"/>
              <w:lang w:val="zh-CN"/>
            </w:rPr>
            <w:fldChar w:fldCharType="separate"/>
          </w:r>
          <w:r>
            <w:rPr>
              <w:rFonts w:hint="eastAsia" w:ascii="仿宋" w:hAnsi="仿宋" w:eastAsia="仿宋" w:cs="仿宋_GB2312"/>
              <w:bCs/>
              <w:kern w:val="0"/>
              <w:sz w:val="28"/>
              <w:szCs w:val="28"/>
            </w:rPr>
            <w:t>1.数字产业总量较低，产业基础较为薄弱</w:t>
          </w:r>
          <w:r>
            <w:rPr>
              <w:sz w:val="28"/>
              <w:szCs w:val="28"/>
            </w:rPr>
            <w:tab/>
          </w:r>
          <w:r>
            <w:rPr>
              <w:sz w:val="28"/>
              <w:szCs w:val="28"/>
            </w:rPr>
            <w:fldChar w:fldCharType="begin"/>
          </w:r>
          <w:r>
            <w:rPr>
              <w:sz w:val="28"/>
              <w:szCs w:val="28"/>
            </w:rPr>
            <w:instrText xml:space="preserve"> PAGEREF _Toc10139 \h </w:instrText>
          </w:r>
          <w:r>
            <w:rPr>
              <w:sz w:val="28"/>
              <w:szCs w:val="28"/>
            </w:rPr>
            <w:fldChar w:fldCharType="separate"/>
          </w:r>
          <w:r>
            <w:rPr>
              <w:sz w:val="28"/>
              <w:szCs w:val="28"/>
            </w:rPr>
            <w:t>3</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_Toc13097 </w:instrText>
          </w:r>
          <w:r>
            <w:rPr>
              <w:sz w:val="28"/>
              <w:szCs w:val="28"/>
              <w:lang w:val="zh-CN"/>
            </w:rPr>
            <w:fldChar w:fldCharType="separate"/>
          </w:r>
          <w:r>
            <w:rPr>
              <w:rFonts w:hint="eastAsia" w:ascii="仿宋" w:hAnsi="仿宋" w:eastAsia="仿宋" w:cs="仿宋_GB2312"/>
              <w:bCs/>
              <w:kern w:val="0"/>
              <w:sz w:val="28"/>
              <w:szCs w:val="28"/>
            </w:rPr>
            <w:t>2.产业数字转型偏慢，服务能力有待提升</w:t>
          </w:r>
          <w:r>
            <w:rPr>
              <w:sz w:val="28"/>
              <w:szCs w:val="28"/>
            </w:rPr>
            <w:tab/>
          </w:r>
          <w:r>
            <w:rPr>
              <w:sz w:val="28"/>
              <w:szCs w:val="28"/>
            </w:rPr>
            <w:fldChar w:fldCharType="begin"/>
          </w:r>
          <w:r>
            <w:rPr>
              <w:sz w:val="28"/>
              <w:szCs w:val="28"/>
            </w:rPr>
            <w:instrText xml:space="preserve"> PAGEREF _Toc13097 \h </w:instrText>
          </w:r>
          <w:r>
            <w:rPr>
              <w:sz w:val="28"/>
              <w:szCs w:val="28"/>
            </w:rPr>
            <w:fldChar w:fldCharType="separate"/>
          </w:r>
          <w:r>
            <w:rPr>
              <w:sz w:val="28"/>
              <w:szCs w:val="28"/>
            </w:rPr>
            <w:t>3</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_Toc22488 </w:instrText>
          </w:r>
          <w:r>
            <w:rPr>
              <w:sz w:val="28"/>
              <w:szCs w:val="28"/>
              <w:lang w:val="zh-CN"/>
            </w:rPr>
            <w:fldChar w:fldCharType="separate"/>
          </w:r>
          <w:r>
            <w:rPr>
              <w:rFonts w:hint="eastAsia" w:ascii="仿宋" w:hAnsi="仿宋" w:eastAsia="仿宋" w:cs="仿宋_GB2312"/>
              <w:bCs/>
              <w:kern w:val="0"/>
              <w:sz w:val="28"/>
              <w:szCs w:val="28"/>
            </w:rPr>
            <w:t>3.产业平台载体缺少，优质公共服务不足</w:t>
          </w:r>
          <w:r>
            <w:rPr>
              <w:sz w:val="28"/>
              <w:szCs w:val="28"/>
            </w:rPr>
            <w:tab/>
          </w:r>
          <w:r>
            <w:rPr>
              <w:sz w:val="28"/>
              <w:szCs w:val="28"/>
            </w:rPr>
            <w:fldChar w:fldCharType="begin"/>
          </w:r>
          <w:r>
            <w:rPr>
              <w:sz w:val="28"/>
              <w:szCs w:val="28"/>
            </w:rPr>
            <w:instrText xml:space="preserve"> PAGEREF _Toc22488 \h </w:instrText>
          </w:r>
          <w:r>
            <w:rPr>
              <w:sz w:val="28"/>
              <w:szCs w:val="28"/>
            </w:rPr>
            <w:fldChar w:fldCharType="separate"/>
          </w:r>
          <w:r>
            <w:rPr>
              <w:sz w:val="28"/>
              <w:szCs w:val="28"/>
            </w:rPr>
            <w:t>4</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_Toc15603 </w:instrText>
          </w:r>
          <w:r>
            <w:rPr>
              <w:sz w:val="28"/>
              <w:szCs w:val="28"/>
              <w:lang w:val="zh-CN"/>
            </w:rPr>
            <w:fldChar w:fldCharType="separate"/>
          </w:r>
          <w:r>
            <w:rPr>
              <w:rFonts w:hint="eastAsia" w:ascii="仿宋" w:hAnsi="仿宋" w:eastAsia="仿宋" w:cs="仿宋_GB2312"/>
              <w:bCs/>
              <w:kern w:val="0"/>
              <w:sz w:val="28"/>
              <w:szCs w:val="28"/>
            </w:rPr>
            <w:t>4.高端人才招引不足，科技创新有待加强</w:t>
          </w:r>
          <w:r>
            <w:rPr>
              <w:sz w:val="28"/>
              <w:szCs w:val="28"/>
            </w:rPr>
            <w:tab/>
          </w:r>
          <w:r>
            <w:rPr>
              <w:sz w:val="28"/>
              <w:szCs w:val="28"/>
            </w:rPr>
            <w:fldChar w:fldCharType="begin"/>
          </w:r>
          <w:r>
            <w:rPr>
              <w:sz w:val="28"/>
              <w:szCs w:val="28"/>
            </w:rPr>
            <w:instrText xml:space="preserve"> PAGEREF _Toc15603 \h </w:instrText>
          </w:r>
          <w:r>
            <w:rPr>
              <w:sz w:val="28"/>
              <w:szCs w:val="28"/>
            </w:rPr>
            <w:fldChar w:fldCharType="separate"/>
          </w:r>
          <w:r>
            <w:rPr>
              <w:sz w:val="28"/>
              <w:szCs w:val="28"/>
            </w:rPr>
            <w:t>4</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_Toc22687 </w:instrText>
          </w:r>
          <w:r>
            <w:rPr>
              <w:sz w:val="28"/>
              <w:szCs w:val="28"/>
              <w:lang w:val="zh-CN"/>
            </w:rPr>
            <w:fldChar w:fldCharType="separate"/>
          </w:r>
          <w:r>
            <w:rPr>
              <w:rFonts w:hint="eastAsia" w:ascii="黑体" w:hAnsi="黑体" w:eastAsia="黑体" w:cs="黑体"/>
              <w:kern w:val="44"/>
              <w:sz w:val="28"/>
              <w:szCs w:val="28"/>
            </w:rPr>
            <w:t>二、面临形势</w:t>
          </w:r>
          <w:r>
            <w:rPr>
              <w:sz w:val="28"/>
              <w:szCs w:val="28"/>
            </w:rPr>
            <w:tab/>
          </w:r>
          <w:r>
            <w:rPr>
              <w:sz w:val="28"/>
              <w:szCs w:val="28"/>
            </w:rPr>
            <w:fldChar w:fldCharType="begin"/>
          </w:r>
          <w:r>
            <w:rPr>
              <w:sz w:val="28"/>
              <w:szCs w:val="28"/>
            </w:rPr>
            <w:instrText xml:space="preserve"> PAGEREF _Toc22687 \h </w:instrText>
          </w:r>
          <w:r>
            <w:rPr>
              <w:sz w:val="28"/>
              <w:szCs w:val="28"/>
            </w:rPr>
            <w:fldChar w:fldCharType="separate"/>
          </w:r>
          <w:r>
            <w:rPr>
              <w:sz w:val="28"/>
              <w:szCs w:val="28"/>
            </w:rPr>
            <w:t>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_Toc5972 </w:instrText>
          </w:r>
          <w:r>
            <w:rPr>
              <w:sz w:val="28"/>
              <w:szCs w:val="28"/>
              <w:lang w:val="zh-CN"/>
            </w:rPr>
            <w:fldChar w:fldCharType="separate"/>
          </w:r>
          <w:r>
            <w:rPr>
              <w:rFonts w:hint="eastAsia" w:ascii="楷体" w:hAnsi="楷体" w:eastAsia="楷体" w:cs="楷体"/>
              <w:sz w:val="28"/>
              <w:szCs w:val="28"/>
            </w:rPr>
            <w:t>（一）新一代信息技术进入成长爆发新阶段</w:t>
          </w:r>
          <w:r>
            <w:rPr>
              <w:sz w:val="28"/>
              <w:szCs w:val="28"/>
            </w:rPr>
            <w:tab/>
          </w:r>
          <w:r>
            <w:rPr>
              <w:sz w:val="28"/>
              <w:szCs w:val="28"/>
            </w:rPr>
            <w:fldChar w:fldCharType="begin"/>
          </w:r>
          <w:r>
            <w:rPr>
              <w:sz w:val="28"/>
              <w:szCs w:val="28"/>
            </w:rPr>
            <w:instrText xml:space="preserve"> PAGEREF _Toc5972 \h </w:instrText>
          </w:r>
          <w:r>
            <w:rPr>
              <w:sz w:val="28"/>
              <w:szCs w:val="28"/>
            </w:rPr>
            <w:fldChar w:fldCharType="separate"/>
          </w:r>
          <w:r>
            <w:rPr>
              <w:sz w:val="28"/>
              <w:szCs w:val="28"/>
            </w:rPr>
            <w:t>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_Toc3579 </w:instrText>
          </w:r>
          <w:r>
            <w:rPr>
              <w:sz w:val="28"/>
              <w:szCs w:val="28"/>
              <w:lang w:val="zh-CN"/>
            </w:rPr>
            <w:fldChar w:fldCharType="separate"/>
          </w:r>
          <w:r>
            <w:rPr>
              <w:rFonts w:hint="eastAsia" w:ascii="楷体" w:hAnsi="楷体" w:eastAsia="楷体" w:cs="楷体"/>
              <w:sz w:val="28"/>
              <w:szCs w:val="28"/>
            </w:rPr>
            <w:t>（二）数字经济发展将迎来更大的政策支持</w:t>
          </w:r>
          <w:r>
            <w:rPr>
              <w:sz w:val="28"/>
              <w:szCs w:val="28"/>
            </w:rPr>
            <w:tab/>
          </w:r>
          <w:r>
            <w:rPr>
              <w:sz w:val="28"/>
              <w:szCs w:val="28"/>
            </w:rPr>
            <w:fldChar w:fldCharType="begin"/>
          </w:r>
          <w:r>
            <w:rPr>
              <w:sz w:val="28"/>
              <w:szCs w:val="28"/>
            </w:rPr>
            <w:instrText xml:space="preserve"> PAGEREF _Toc3579 \h </w:instrText>
          </w:r>
          <w:r>
            <w:rPr>
              <w:sz w:val="28"/>
              <w:szCs w:val="28"/>
            </w:rPr>
            <w:fldChar w:fldCharType="separate"/>
          </w:r>
          <w:r>
            <w:rPr>
              <w:sz w:val="28"/>
              <w:szCs w:val="28"/>
            </w:rPr>
            <w:t>5</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_Toc6633 </w:instrText>
          </w:r>
          <w:r>
            <w:rPr>
              <w:sz w:val="28"/>
              <w:szCs w:val="28"/>
              <w:lang w:val="zh-CN"/>
            </w:rPr>
            <w:fldChar w:fldCharType="separate"/>
          </w:r>
          <w:r>
            <w:rPr>
              <w:rFonts w:hint="eastAsia" w:ascii="楷体" w:hAnsi="楷体" w:eastAsia="楷体" w:cs="楷体"/>
              <w:sz w:val="28"/>
              <w:szCs w:val="28"/>
            </w:rPr>
            <w:t>（三）发展数字经济是永嘉战略的必然选择</w:t>
          </w:r>
          <w:r>
            <w:rPr>
              <w:sz w:val="28"/>
              <w:szCs w:val="28"/>
            </w:rPr>
            <w:tab/>
          </w:r>
          <w:r>
            <w:rPr>
              <w:sz w:val="28"/>
              <w:szCs w:val="28"/>
            </w:rPr>
            <w:fldChar w:fldCharType="begin"/>
          </w:r>
          <w:r>
            <w:rPr>
              <w:sz w:val="28"/>
              <w:szCs w:val="28"/>
            </w:rPr>
            <w:instrText xml:space="preserve"> PAGEREF _Toc6633 \h </w:instrText>
          </w:r>
          <w:r>
            <w:rPr>
              <w:sz w:val="28"/>
              <w:szCs w:val="28"/>
            </w:rPr>
            <w:fldChar w:fldCharType="separate"/>
          </w:r>
          <w:r>
            <w:rPr>
              <w:sz w:val="28"/>
              <w:szCs w:val="28"/>
            </w:rPr>
            <w:t>5</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_Toc19941 </w:instrText>
          </w:r>
          <w:r>
            <w:rPr>
              <w:sz w:val="28"/>
              <w:szCs w:val="28"/>
              <w:lang w:val="zh-CN"/>
            </w:rPr>
            <w:fldChar w:fldCharType="separate"/>
          </w:r>
          <w:r>
            <w:rPr>
              <w:rFonts w:hint="eastAsia" w:ascii="楷体" w:hAnsi="楷体" w:eastAsia="楷体" w:cs="楷体"/>
              <w:sz w:val="28"/>
              <w:szCs w:val="28"/>
            </w:rPr>
            <w:t>（四）数字经济为永嘉未来发展带来新机遇</w:t>
          </w:r>
          <w:r>
            <w:rPr>
              <w:sz w:val="28"/>
              <w:szCs w:val="28"/>
            </w:rPr>
            <w:tab/>
          </w:r>
          <w:r>
            <w:rPr>
              <w:sz w:val="28"/>
              <w:szCs w:val="28"/>
            </w:rPr>
            <w:fldChar w:fldCharType="begin"/>
          </w:r>
          <w:r>
            <w:rPr>
              <w:sz w:val="28"/>
              <w:szCs w:val="28"/>
            </w:rPr>
            <w:instrText xml:space="preserve"> PAGEREF _Toc19941 \h </w:instrText>
          </w:r>
          <w:r>
            <w:rPr>
              <w:sz w:val="28"/>
              <w:szCs w:val="28"/>
            </w:rPr>
            <w:fldChar w:fldCharType="separate"/>
          </w:r>
          <w:r>
            <w:rPr>
              <w:sz w:val="28"/>
              <w:szCs w:val="28"/>
            </w:rPr>
            <w:t>5</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_Toc29771 </w:instrText>
          </w:r>
          <w:r>
            <w:rPr>
              <w:sz w:val="28"/>
              <w:szCs w:val="28"/>
              <w:lang w:val="zh-CN"/>
            </w:rPr>
            <w:fldChar w:fldCharType="separate"/>
          </w:r>
          <w:r>
            <w:rPr>
              <w:rFonts w:hint="eastAsia" w:ascii="黑体" w:hAnsi="黑体" w:eastAsia="黑体" w:cs="黑体"/>
              <w:kern w:val="44"/>
              <w:sz w:val="28"/>
              <w:szCs w:val="28"/>
            </w:rPr>
            <w:t>三、发展目标</w:t>
          </w:r>
          <w:r>
            <w:rPr>
              <w:sz w:val="28"/>
              <w:szCs w:val="28"/>
            </w:rPr>
            <w:tab/>
          </w:r>
          <w:r>
            <w:rPr>
              <w:sz w:val="28"/>
              <w:szCs w:val="28"/>
            </w:rPr>
            <w:fldChar w:fldCharType="begin"/>
          </w:r>
          <w:r>
            <w:rPr>
              <w:sz w:val="28"/>
              <w:szCs w:val="28"/>
            </w:rPr>
            <w:instrText xml:space="preserve"> PAGEREF _Toc29771 \h </w:instrText>
          </w:r>
          <w:r>
            <w:rPr>
              <w:sz w:val="28"/>
              <w:szCs w:val="28"/>
            </w:rPr>
            <w:fldChar w:fldCharType="separate"/>
          </w:r>
          <w:r>
            <w:rPr>
              <w:sz w:val="28"/>
              <w:szCs w:val="28"/>
            </w:rPr>
            <w:t>6</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_Toc7413 </w:instrText>
          </w:r>
          <w:r>
            <w:rPr>
              <w:sz w:val="28"/>
              <w:szCs w:val="28"/>
              <w:lang w:val="zh-CN"/>
            </w:rPr>
            <w:fldChar w:fldCharType="separate"/>
          </w:r>
          <w:r>
            <w:rPr>
              <w:rFonts w:hint="eastAsia" w:ascii="楷体" w:hAnsi="楷体" w:eastAsia="楷体" w:cs="楷体"/>
              <w:sz w:val="28"/>
              <w:szCs w:val="28"/>
            </w:rPr>
            <w:t>（一）指导思想</w:t>
          </w:r>
          <w:r>
            <w:rPr>
              <w:sz w:val="28"/>
              <w:szCs w:val="28"/>
            </w:rPr>
            <w:tab/>
          </w:r>
          <w:r>
            <w:rPr>
              <w:sz w:val="28"/>
              <w:szCs w:val="28"/>
            </w:rPr>
            <w:fldChar w:fldCharType="begin"/>
          </w:r>
          <w:r>
            <w:rPr>
              <w:sz w:val="28"/>
              <w:szCs w:val="28"/>
            </w:rPr>
            <w:instrText xml:space="preserve"> PAGEREF _Toc7413 \h </w:instrText>
          </w:r>
          <w:r>
            <w:rPr>
              <w:sz w:val="28"/>
              <w:szCs w:val="28"/>
            </w:rPr>
            <w:fldChar w:fldCharType="separate"/>
          </w:r>
          <w:r>
            <w:rPr>
              <w:sz w:val="28"/>
              <w:szCs w:val="28"/>
            </w:rPr>
            <w:t>6</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_Toc26261 </w:instrText>
          </w:r>
          <w:r>
            <w:rPr>
              <w:sz w:val="28"/>
              <w:szCs w:val="28"/>
              <w:lang w:val="zh-CN"/>
            </w:rPr>
            <w:fldChar w:fldCharType="separate"/>
          </w:r>
          <w:r>
            <w:rPr>
              <w:rFonts w:hint="eastAsia" w:ascii="楷体" w:hAnsi="楷体" w:eastAsia="楷体" w:cs="楷体"/>
              <w:sz w:val="28"/>
              <w:szCs w:val="28"/>
            </w:rPr>
            <w:t>（二）发展定位</w:t>
          </w:r>
          <w:r>
            <w:rPr>
              <w:sz w:val="28"/>
              <w:szCs w:val="28"/>
            </w:rPr>
            <w:tab/>
          </w:r>
          <w:r>
            <w:rPr>
              <w:sz w:val="28"/>
              <w:szCs w:val="28"/>
            </w:rPr>
            <w:fldChar w:fldCharType="begin"/>
          </w:r>
          <w:r>
            <w:rPr>
              <w:sz w:val="28"/>
              <w:szCs w:val="28"/>
            </w:rPr>
            <w:instrText xml:space="preserve"> PAGEREF _Toc26261 \h </w:instrText>
          </w:r>
          <w:r>
            <w:rPr>
              <w:sz w:val="28"/>
              <w:szCs w:val="28"/>
            </w:rPr>
            <w:fldChar w:fldCharType="separate"/>
          </w:r>
          <w:r>
            <w:rPr>
              <w:sz w:val="28"/>
              <w:szCs w:val="28"/>
            </w:rPr>
            <w:t>6</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_Toc762 </w:instrText>
          </w:r>
          <w:r>
            <w:rPr>
              <w:sz w:val="28"/>
              <w:szCs w:val="28"/>
              <w:lang w:val="zh-CN"/>
            </w:rPr>
            <w:fldChar w:fldCharType="separate"/>
          </w:r>
          <w:r>
            <w:rPr>
              <w:rFonts w:hint="eastAsia" w:ascii="楷体" w:hAnsi="楷体" w:eastAsia="楷体" w:cs="楷体"/>
              <w:sz w:val="28"/>
              <w:szCs w:val="28"/>
            </w:rPr>
            <w:t>（三）发展目标</w:t>
          </w:r>
          <w:r>
            <w:rPr>
              <w:sz w:val="28"/>
              <w:szCs w:val="28"/>
            </w:rPr>
            <w:tab/>
          </w:r>
          <w:r>
            <w:rPr>
              <w:sz w:val="28"/>
              <w:szCs w:val="28"/>
            </w:rPr>
            <w:fldChar w:fldCharType="begin"/>
          </w:r>
          <w:r>
            <w:rPr>
              <w:sz w:val="28"/>
              <w:szCs w:val="28"/>
            </w:rPr>
            <w:instrText xml:space="preserve"> PAGEREF _Toc762 \h </w:instrText>
          </w:r>
          <w:r>
            <w:rPr>
              <w:sz w:val="28"/>
              <w:szCs w:val="28"/>
            </w:rPr>
            <w:fldChar w:fldCharType="separate"/>
          </w:r>
          <w:r>
            <w:rPr>
              <w:sz w:val="28"/>
              <w:szCs w:val="28"/>
            </w:rPr>
            <w:t>7</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_Toc26952 </w:instrText>
          </w:r>
          <w:r>
            <w:rPr>
              <w:sz w:val="28"/>
              <w:szCs w:val="28"/>
              <w:lang w:val="zh-CN"/>
            </w:rPr>
            <w:fldChar w:fldCharType="separate"/>
          </w:r>
          <w:r>
            <w:rPr>
              <w:rFonts w:hint="eastAsia" w:ascii="黑体" w:hAnsi="黑体" w:eastAsia="黑体" w:cs="黑体"/>
              <w:kern w:val="44"/>
              <w:sz w:val="28"/>
              <w:szCs w:val="28"/>
            </w:rPr>
            <w:t>四、发展任务</w:t>
          </w:r>
          <w:r>
            <w:rPr>
              <w:sz w:val="28"/>
              <w:szCs w:val="28"/>
            </w:rPr>
            <w:tab/>
          </w:r>
          <w:r>
            <w:rPr>
              <w:sz w:val="28"/>
              <w:szCs w:val="28"/>
            </w:rPr>
            <w:fldChar w:fldCharType="begin"/>
          </w:r>
          <w:r>
            <w:rPr>
              <w:sz w:val="28"/>
              <w:szCs w:val="28"/>
            </w:rPr>
            <w:instrText xml:space="preserve"> PAGEREF _Toc26952 \h </w:instrText>
          </w:r>
          <w:r>
            <w:rPr>
              <w:sz w:val="28"/>
              <w:szCs w:val="28"/>
            </w:rPr>
            <w:fldChar w:fldCharType="separate"/>
          </w:r>
          <w:r>
            <w:rPr>
              <w:sz w:val="28"/>
              <w:szCs w:val="28"/>
            </w:rPr>
            <w:t>8</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_Toc16065 </w:instrText>
          </w:r>
          <w:r>
            <w:rPr>
              <w:sz w:val="28"/>
              <w:szCs w:val="28"/>
              <w:lang w:val="zh-CN"/>
            </w:rPr>
            <w:fldChar w:fldCharType="separate"/>
          </w:r>
          <w:r>
            <w:rPr>
              <w:rFonts w:hint="eastAsia" w:ascii="楷体" w:hAnsi="楷体" w:eastAsia="楷体" w:cs="楷体"/>
              <w:sz w:val="28"/>
              <w:szCs w:val="28"/>
            </w:rPr>
            <w:t>（一）发展数字产业化，壮大核心产业规模</w:t>
          </w:r>
          <w:r>
            <w:rPr>
              <w:sz w:val="28"/>
              <w:szCs w:val="28"/>
            </w:rPr>
            <w:tab/>
          </w:r>
          <w:r>
            <w:rPr>
              <w:sz w:val="28"/>
              <w:szCs w:val="28"/>
            </w:rPr>
            <w:fldChar w:fldCharType="begin"/>
          </w:r>
          <w:r>
            <w:rPr>
              <w:sz w:val="28"/>
              <w:szCs w:val="28"/>
            </w:rPr>
            <w:instrText xml:space="preserve"> PAGEREF _Toc16065 \h </w:instrText>
          </w:r>
          <w:r>
            <w:rPr>
              <w:sz w:val="28"/>
              <w:szCs w:val="28"/>
            </w:rPr>
            <w:fldChar w:fldCharType="separate"/>
          </w:r>
          <w:r>
            <w:rPr>
              <w:sz w:val="28"/>
              <w:szCs w:val="28"/>
            </w:rPr>
            <w:t>8</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_Toc13130 </w:instrText>
          </w:r>
          <w:r>
            <w:rPr>
              <w:sz w:val="28"/>
              <w:szCs w:val="28"/>
              <w:lang w:val="zh-CN"/>
            </w:rPr>
            <w:fldChar w:fldCharType="separate"/>
          </w:r>
          <w:r>
            <w:rPr>
              <w:rFonts w:hint="eastAsia" w:ascii="仿宋" w:hAnsi="仿宋" w:eastAsia="仿宋" w:cs="仿宋_GB2312"/>
              <w:bCs/>
              <w:kern w:val="0"/>
              <w:sz w:val="28"/>
              <w:szCs w:val="28"/>
              <w:lang w:val="en-US" w:eastAsia="zh-CN"/>
            </w:rPr>
            <w:t>1</w:t>
          </w:r>
          <w:r>
            <w:rPr>
              <w:rFonts w:hint="eastAsia" w:ascii="仿宋" w:hAnsi="仿宋" w:eastAsia="仿宋" w:cs="仿宋_GB2312"/>
              <w:bCs/>
              <w:kern w:val="0"/>
              <w:sz w:val="28"/>
              <w:szCs w:val="28"/>
            </w:rPr>
            <w:t>.提升数字产业能级</w:t>
          </w:r>
          <w:r>
            <w:rPr>
              <w:sz w:val="28"/>
              <w:szCs w:val="28"/>
            </w:rPr>
            <w:tab/>
          </w:r>
          <w:r>
            <w:rPr>
              <w:sz w:val="28"/>
              <w:szCs w:val="28"/>
            </w:rPr>
            <w:fldChar w:fldCharType="begin"/>
          </w:r>
          <w:r>
            <w:rPr>
              <w:sz w:val="28"/>
              <w:szCs w:val="28"/>
            </w:rPr>
            <w:instrText xml:space="preserve"> PAGEREF _Toc13130 \h </w:instrText>
          </w:r>
          <w:r>
            <w:rPr>
              <w:sz w:val="28"/>
              <w:szCs w:val="28"/>
            </w:rPr>
            <w:fldChar w:fldCharType="separate"/>
          </w:r>
          <w:r>
            <w:rPr>
              <w:sz w:val="28"/>
              <w:szCs w:val="28"/>
            </w:rPr>
            <w:t>8</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_Toc8126 </w:instrText>
          </w:r>
          <w:r>
            <w:rPr>
              <w:sz w:val="28"/>
              <w:szCs w:val="28"/>
              <w:lang w:val="zh-CN"/>
            </w:rPr>
            <w:fldChar w:fldCharType="separate"/>
          </w:r>
          <w:r>
            <w:rPr>
              <w:rFonts w:hint="eastAsia" w:ascii="仿宋" w:hAnsi="仿宋" w:eastAsia="仿宋" w:cs="仿宋_GB2312"/>
              <w:bCs/>
              <w:kern w:val="0"/>
              <w:sz w:val="28"/>
              <w:szCs w:val="28"/>
              <w:lang w:val="en-US" w:eastAsia="zh-CN"/>
            </w:rPr>
            <w:t>2</w:t>
          </w:r>
          <w:r>
            <w:rPr>
              <w:rFonts w:hint="eastAsia" w:ascii="仿宋" w:hAnsi="仿宋" w:eastAsia="仿宋" w:cs="仿宋_GB2312"/>
              <w:bCs/>
              <w:kern w:val="0"/>
              <w:sz w:val="28"/>
              <w:szCs w:val="28"/>
            </w:rPr>
            <w:t>.增强科技创新能力</w:t>
          </w:r>
          <w:r>
            <w:rPr>
              <w:sz w:val="28"/>
              <w:szCs w:val="28"/>
            </w:rPr>
            <w:tab/>
          </w:r>
          <w:r>
            <w:rPr>
              <w:sz w:val="28"/>
              <w:szCs w:val="28"/>
            </w:rPr>
            <w:fldChar w:fldCharType="begin"/>
          </w:r>
          <w:r>
            <w:rPr>
              <w:sz w:val="28"/>
              <w:szCs w:val="28"/>
            </w:rPr>
            <w:instrText xml:space="preserve"> PAGEREF _Toc8126 \h </w:instrText>
          </w:r>
          <w:r>
            <w:rPr>
              <w:sz w:val="28"/>
              <w:szCs w:val="28"/>
            </w:rPr>
            <w:fldChar w:fldCharType="separate"/>
          </w:r>
          <w:r>
            <w:rPr>
              <w:sz w:val="28"/>
              <w:szCs w:val="28"/>
            </w:rPr>
            <w:t>9</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_Toc16740 </w:instrText>
          </w:r>
          <w:r>
            <w:rPr>
              <w:sz w:val="28"/>
              <w:szCs w:val="28"/>
              <w:lang w:val="zh-CN"/>
            </w:rPr>
            <w:fldChar w:fldCharType="separate"/>
          </w:r>
          <w:r>
            <w:rPr>
              <w:rFonts w:hint="eastAsia" w:ascii="仿宋" w:hAnsi="仿宋" w:eastAsia="仿宋" w:cs="仿宋_GB2312"/>
              <w:bCs/>
              <w:kern w:val="0"/>
              <w:sz w:val="28"/>
              <w:szCs w:val="28"/>
            </w:rPr>
            <w:t>3.建设专业数字园区</w:t>
          </w:r>
          <w:r>
            <w:rPr>
              <w:sz w:val="28"/>
              <w:szCs w:val="28"/>
            </w:rPr>
            <w:tab/>
          </w:r>
          <w:r>
            <w:rPr>
              <w:sz w:val="28"/>
              <w:szCs w:val="28"/>
            </w:rPr>
            <w:fldChar w:fldCharType="begin"/>
          </w:r>
          <w:r>
            <w:rPr>
              <w:sz w:val="28"/>
              <w:szCs w:val="28"/>
            </w:rPr>
            <w:instrText xml:space="preserve"> PAGEREF _Toc16740 \h </w:instrText>
          </w:r>
          <w:r>
            <w:rPr>
              <w:sz w:val="28"/>
              <w:szCs w:val="28"/>
            </w:rPr>
            <w:fldChar w:fldCharType="separate"/>
          </w:r>
          <w:r>
            <w:rPr>
              <w:sz w:val="28"/>
              <w:szCs w:val="28"/>
            </w:rPr>
            <w:t>11</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_Toc6110 </w:instrText>
          </w:r>
          <w:r>
            <w:rPr>
              <w:sz w:val="28"/>
              <w:szCs w:val="28"/>
              <w:lang w:val="zh-CN"/>
            </w:rPr>
            <w:fldChar w:fldCharType="separate"/>
          </w:r>
          <w:r>
            <w:rPr>
              <w:rFonts w:hint="eastAsia" w:ascii="仿宋" w:hAnsi="仿宋" w:eastAsia="仿宋" w:cs="仿宋_GB2312"/>
              <w:bCs/>
              <w:kern w:val="0"/>
              <w:sz w:val="28"/>
              <w:szCs w:val="28"/>
            </w:rPr>
            <w:t>4.培育企业市场主体</w:t>
          </w:r>
          <w:r>
            <w:rPr>
              <w:sz w:val="28"/>
              <w:szCs w:val="28"/>
            </w:rPr>
            <w:tab/>
          </w:r>
          <w:r>
            <w:rPr>
              <w:sz w:val="28"/>
              <w:szCs w:val="28"/>
            </w:rPr>
            <w:fldChar w:fldCharType="begin"/>
          </w:r>
          <w:r>
            <w:rPr>
              <w:sz w:val="28"/>
              <w:szCs w:val="28"/>
            </w:rPr>
            <w:instrText xml:space="preserve"> PAGEREF _Toc6110 \h </w:instrText>
          </w:r>
          <w:r>
            <w:rPr>
              <w:sz w:val="28"/>
              <w:szCs w:val="28"/>
            </w:rPr>
            <w:fldChar w:fldCharType="separate"/>
          </w:r>
          <w:r>
            <w:rPr>
              <w:sz w:val="28"/>
              <w:szCs w:val="28"/>
            </w:rPr>
            <w:t>12</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_Toc20702 </w:instrText>
          </w:r>
          <w:r>
            <w:rPr>
              <w:sz w:val="28"/>
              <w:szCs w:val="28"/>
              <w:lang w:val="zh-CN"/>
            </w:rPr>
            <w:fldChar w:fldCharType="separate"/>
          </w:r>
          <w:r>
            <w:rPr>
              <w:rFonts w:hint="eastAsia" w:ascii="楷体" w:hAnsi="楷体" w:eastAsia="楷体" w:cs="楷体"/>
              <w:sz w:val="28"/>
              <w:szCs w:val="28"/>
            </w:rPr>
            <w:t>（二）推进产业数字化，加快数字赋能进程</w:t>
          </w:r>
          <w:r>
            <w:rPr>
              <w:sz w:val="28"/>
              <w:szCs w:val="28"/>
            </w:rPr>
            <w:tab/>
          </w:r>
          <w:r>
            <w:rPr>
              <w:sz w:val="28"/>
              <w:szCs w:val="28"/>
            </w:rPr>
            <w:fldChar w:fldCharType="begin"/>
          </w:r>
          <w:r>
            <w:rPr>
              <w:sz w:val="28"/>
              <w:szCs w:val="28"/>
            </w:rPr>
            <w:instrText xml:space="preserve"> PAGEREF _Toc20702 \h </w:instrText>
          </w:r>
          <w:r>
            <w:rPr>
              <w:sz w:val="28"/>
              <w:szCs w:val="28"/>
            </w:rPr>
            <w:fldChar w:fldCharType="separate"/>
          </w:r>
          <w:r>
            <w:rPr>
              <w:sz w:val="28"/>
              <w:szCs w:val="28"/>
            </w:rPr>
            <w:t>14</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_Toc25737 </w:instrText>
          </w:r>
          <w:r>
            <w:rPr>
              <w:sz w:val="28"/>
              <w:szCs w:val="28"/>
              <w:lang w:val="zh-CN"/>
            </w:rPr>
            <w:fldChar w:fldCharType="separate"/>
          </w:r>
          <w:r>
            <w:rPr>
              <w:rFonts w:hint="eastAsia" w:ascii="仿宋" w:hAnsi="仿宋" w:eastAsia="仿宋" w:cs="仿宋_GB2312"/>
              <w:bCs/>
              <w:kern w:val="0"/>
              <w:sz w:val="28"/>
              <w:szCs w:val="28"/>
            </w:rPr>
            <w:t>1.推动制造业数字化转型</w:t>
          </w:r>
          <w:r>
            <w:rPr>
              <w:sz w:val="28"/>
              <w:szCs w:val="28"/>
            </w:rPr>
            <w:tab/>
          </w:r>
          <w:r>
            <w:rPr>
              <w:sz w:val="28"/>
              <w:szCs w:val="28"/>
            </w:rPr>
            <w:fldChar w:fldCharType="begin"/>
          </w:r>
          <w:r>
            <w:rPr>
              <w:sz w:val="28"/>
              <w:szCs w:val="28"/>
            </w:rPr>
            <w:instrText xml:space="preserve"> PAGEREF _Toc25737 \h </w:instrText>
          </w:r>
          <w:r>
            <w:rPr>
              <w:sz w:val="28"/>
              <w:szCs w:val="28"/>
            </w:rPr>
            <w:fldChar w:fldCharType="separate"/>
          </w:r>
          <w:r>
            <w:rPr>
              <w:sz w:val="28"/>
              <w:szCs w:val="28"/>
            </w:rPr>
            <w:t>14</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_Toc20919 </w:instrText>
          </w:r>
          <w:r>
            <w:rPr>
              <w:sz w:val="28"/>
              <w:szCs w:val="28"/>
              <w:lang w:val="zh-CN"/>
            </w:rPr>
            <w:fldChar w:fldCharType="separate"/>
          </w:r>
          <w:r>
            <w:rPr>
              <w:rFonts w:hint="eastAsia" w:ascii="仿宋" w:hAnsi="仿宋" w:eastAsia="仿宋" w:cs="仿宋"/>
              <w:bCs/>
              <w:kern w:val="2"/>
              <w:sz w:val="28"/>
              <w:szCs w:val="28"/>
              <w:lang w:val="en-US" w:eastAsia="zh-CN"/>
            </w:rPr>
            <w:t>2.全面推动服务业数字化转型</w:t>
          </w:r>
          <w:r>
            <w:rPr>
              <w:sz w:val="28"/>
              <w:szCs w:val="28"/>
            </w:rPr>
            <w:tab/>
          </w:r>
          <w:r>
            <w:rPr>
              <w:sz w:val="28"/>
              <w:szCs w:val="28"/>
            </w:rPr>
            <w:fldChar w:fldCharType="begin"/>
          </w:r>
          <w:r>
            <w:rPr>
              <w:sz w:val="28"/>
              <w:szCs w:val="28"/>
            </w:rPr>
            <w:instrText xml:space="preserve"> PAGEREF _Toc20919 \h </w:instrText>
          </w:r>
          <w:r>
            <w:rPr>
              <w:sz w:val="28"/>
              <w:szCs w:val="28"/>
            </w:rPr>
            <w:fldChar w:fldCharType="separate"/>
          </w:r>
          <w:r>
            <w:rPr>
              <w:sz w:val="28"/>
              <w:szCs w:val="28"/>
            </w:rPr>
            <w:t>16</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_Toc9490 </w:instrText>
          </w:r>
          <w:r>
            <w:rPr>
              <w:sz w:val="28"/>
              <w:szCs w:val="28"/>
              <w:lang w:val="zh-CN"/>
            </w:rPr>
            <w:fldChar w:fldCharType="separate"/>
          </w:r>
          <w:r>
            <w:rPr>
              <w:rFonts w:hint="eastAsia" w:ascii="仿宋" w:hAnsi="仿宋" w:eastAsia="仿宋" w:cs="仿宋"/>
              <w:bCs/>
              <w:kern w:val="2"/>
              <w:sz w:val="28"/>
              <w:szCs w:val="28"/>
              <w:lang w:val="en-US" w:eastAsia="zh-CN"/>
            </w:rPr>
            <w:t>3.全速推动农业数字化转型</w:t>
          </w:r>
          <w:r>
            <w:rPr>
              <w:sz w:val="28"/>
              <w:szCs w:val="28"/>
            </w:rPr>
            <w:tab/>
          </w:r>
          <w:r>
            <w:rPr>
              <w:sz w:val="28"/>
              <w:szCs w:val="28"/>
            </w:rPr>
            <w:fldChar w:fldCharType="begin"/>
          </w:r>
          <w:r>
            <w:rPr>
              <w:sz w:val="28"/>
              <w:szCs w:val="28"/>
            </w:rPr>
            <w:instrText xml:space="preserve"> PAGEREF _Toc9490 \h </w:instrText>
          </w:r>
          <w:r>
            <w:rPr>
              <w:sz w:val="28"/>
              <w:szCs w:val="28"/>
            </w:rPr>
            <w:fldChar w:fldCharType="separate"/>
          </w:r>
          <w:r>
            <w:rPr>
              <w:sz w:val="28"/>
              <w:szCs w:val="28"/>
            </w:rPr>
            <w:t>18</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_Toc16168 </w:instrText>
          </w:r>
          <w:r>
            <w:rPr>
              <w:sz w:val="28"/>
              <w:szCs w:val="28"/>
              <w:lang w:val="zh-CN"/>
            </w:rPr>
            <w:fldChar w:fldCharType="separate"/>
          </w:r>
          <w:r>
            <w:rPr>
              <w:rFonts w:hint="eastAsia" w:ascii="楷体" w:hAnsi="楷体" w:eastAsia="楷体" w:cs="楷体"/>
              <w:sz w:val="28"/>
              <w:szCs w:val="28"/>
            </w:rPr>
            <w:t>（三）加快治理数字化，推动全方位数字化变革</w:t>
          </w:r>
          <w:r>
            <w:rPr>
              <w:sz w:val="28"/>
              <w:szCs w:val="28"/>
            </w:rPr>
            <w:tab/>
          </w:r>
          <w:r>
            <w:rPr>
              <w:sz w:val="28"/>
              <w:szCs w:val="28"/>
            </w:rPr>
            <w:fldChar w:fldCharType="begin"/>
          </w:r>
          <w:r>
            <w:rPr>
              <w:sz w:val="28"/>
              <w:szCs w:val="28"/>
            </w:rPr>
            <w:instrText xml:space="preserve"> PAGEREF _Toc16168 \h </w:instrText>
          </w:r>
          <w:r>
            <w:rPr>
              <w:sz w:val="28"/>
              <w:szCs w:val="28"/>
            </w:rPr>
            <w:fldChar w:fldCharType="separate"/>
          </w:r>
          <w:r>
            <w:rPr>
              <w:sz w:val="28"/>
              <w:szCs w:val="28"/>
            </w:rPr>
            <w:t>19</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_Toc9479 </w:instrText>
          </w:r>
          <w:r>
            <w:rPr>
              <w:sz w:val="28"/>
              <w:szCs w:val="28"/>
              <w:lang w:val="zh-CN"/>
            </w:rPr>
            <w:fldChar w:fldCharType="separate"/>
          </w:r>
          <w:r>
            <w:rPr>
              <w:rFonts w:hint="eastAsia" w:ascii="仿宋" w:hAnsi="仿宋" w:eastAsia="仿宋" w:cs="仿宋_GB2312"/>
              <w:bCs/>
              <w:kern w:val="0"/>
              <w:sz w:val="28"/>
              <w:szCs w:val="28"/>
              <w:highlight w:val="none"/>
              <w:lang w:val="en-US" w:eastAsia="zh-CN"/>
            </w:rPr>
            <w:t>1.搭建数字治理基础平台</w:t>
          </w:r>
          <w:r>
            <w:rPr>
              <w:sz w:val="28"/>
              <w:szCs w:val="28"/>
            </w:rPr>
            <w:tab/>
          </w:r>
          <w:r>
            <w:rPr>
              <w:sz w:val="28"/>
              <w:szCs w:val="28"/>
            </w:rPr>
            <w:fldChar w:fldCharType="begin"/>
          </w:r>
          <w:r>
            <w:rPr>
              <w:sz w:val="28"/>
              <w:szCs w:val="28"/>
            </w:rPr>
            <w:instrText xml:space="preserve"> PAGEREF _Toc9479 \h </w:instrText>
          </w:r>
          <w:r>
            <w:rPr>
              <w:sz w:val="28"/>
              <w:szCs w:val="28"/>
            </w:rPr>
            <w:fldChar w:fldCharType="separate"/>
          </w:r>
          <w:r>
            <w:rPr>
              <w:sz w:val="28"/>
              <w:szCs w:val="28"/>
            </w:rPr>
            <w:t>19</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_Toc4052 </w:instrText>
          </w:r>
          <w:r>
            <w:rPr>
              <w:sz w:val="28"/>
              <w:szCs w:val="28"/>
              <w:lang w:val="zh-CN"/>
            </w:rPr>
            <w:fldChar w:fldCharType="separate"/>
          </w:r>
          <w:r>
            <w:rPr>
              <w:rFonts w:hint="eastAsia" w:ascii="仿宋" w:hAnsi="仿宋" w:eastAsia="仿宋" w:cs="仿宋_GB2312"/>
              <w:bCs/>
              <w:kern w:val="0"/>
              <w:sz w:val="28"/>
              <w:szCs w:val="28"/>
              <w:lang w:val="en-US" w:eastAsia="zh-CN"/>
            </w:rPr>
            <w:t>2.提升政府整体智治能力</w:t>
          </w:r>
          <w:r>
            <w:rPr>
              <w:sz w:val="28"/>
              <w:szCs w:val="28"/>
            </w:rPr>
            <w:tab/>
          </w:r>
          <w:r>
            <w:rPr>
              <w:sz w:val="28"/>
              <w:szCs w:val="28"/>
            </w:rPr>
            <w:fldChar w:fldCharType="begin"/>
          </w:r>
          <w:r>
            <w:rPr>
              <w:sz w:val="28"/>
              <w:szCs w:val="28"/>
            </w:rPr>
            <w:instrText xml:space="preserve"> PAGEREF _Toc4052 \h </w:instrText>
          </w:r>
          <w:r>
            <w:rPr>
              <w:sz w:val="28"/>
              <w:szCs w:val="28"/>
            </w:rPr>
            <w:fldChar w:fldCharType="separate"/>
          </w:r>
          <w:r>
            <w:rPr>
              <w:sz w:val="28"/>
              <w:szCs w:val="28"/>
            </w:rPr>
            <w:t>20</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_Toc18139 </w:instrText>
          </w:r>
          <w:r>
            <w:rPr>
              <w:sz w:val="28"/>
              <w:szCs w:val="28"/>
              <w:lang w:val="zh-CN"/>
            </w:rPr>
            <w:fldChar w:fldCharType="separate"/>
          </w:r>
          <w:r>
            <w:rPr>
              <w:rFonts w:hint="eastAsia" w:ascii="仿宋" w:hAnsi="仿宋" w:eastAsia="仿宋" w:cs="仿宋_GB2312"/>
              <w:bCs/>
              <w:sz w:val="28"/>
              <w:szCs w:val="28"/>
              <w:lang w:val="en-US" w:eastAsia="zh-CN"/>
            </w:rPr>
            <w:t>3.加快民生领域数字化应用</w:t>
          </w:r>
          <w:r>
            <w:rPr>
              <w:sz w:val="28"/>
              <w:szCs w:val="28"/>
            </w:rPr>
            <w:tab/>
          </w:r>
          <w:r>
            <w:rPr>
              <w:sz w:val="28"/>
              <w:szCs w:val="28"/>
            </w:rPr>
            <w:fldChar w:fldCharType="begin"/>
          </w:r>
          <w:r>
            <w:rPr>
              <w:sz w:val="28"/>
              <w:szCs w:val="28"/>
            </w:rPr>
            <w:instrText xml:space="preserve"> PAGEREF _Toc18139 \h </w:instrText>
          </w:r>
          <w:r>
            <w:rPr>
              <w:sz w:val="28"/>
              <w:szCs w:val="28"/>
            </w:rPr>
            <w:fldChar w:fldCharType="separate"/>
          </w:r>
          <w:r>
            <w:rPr>
              <w:sz w:val="28"/>
              <w:szCs w:val="28"/>
            </w:rPr>
            <w:t>21</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_Toc5487 </w:instrText>
          </w:r>
          <w:r>
            <w:rPr>
              <w:sz w:val="28"/>
              <w:szCs w:val="28"/>
              <w:lang w:val="zh-CN"/>
            </w:rPr>
            <w:fldChar w:fldCharType="separate"/>
          </w:r>
          <w:r>
            <w:rPr>
              <w:rFonts w:hint="eastAsia" w:ascii="楷体" w:hAnsi="楷体" w:eastAsia="楷体" w:cs="楷体"/>
              <w:sz w:val="28"/>
              <w:szCs w:val="28"/>
            </w:rPr>
            <w:t>（四）完善数字新基建，提高网络基层设施水平</w:t>
          </w:r>
          <w:r>
            <w:rPr>
              <w:sz w:val="28"/>
              <w:szCs w:val="28"/>
            </w:rPr>
            <w:tab/>
          </w:r>
          <w:r>
            <w:rPr>
              <w:sz w:val="28"/>
              <w:szCs w:val="28"/>
            </w:rPr>
            <w:fldChar w:fldCharType="begin"/>
          </w:r>
          <w:r>
            <w:rPr>
              <w:sz w:val="28"/>
              <w:szCs w:val="28"/>
            </w:rPr>
            <w:instrText xml:space="preserve"> PAGEREF _Toc5487 \h </w:instrText>
          </w:r>
          <w:r>
            <w:rPr>
              <w:sz w:val="28"/>
              <w:szCs w:val="28"/>
            </w:rPr>
            <w:fldChar w:fldCharType="separate"/>
          </w:r>
          <w:r>
            <w:rPr>
              <w:sz w:val="28"/>
              <w:szCs w:val="28"/>
            </w:rPr>
            <w:t>22</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_Toc238 </w:instrText>
          </w:r>
          <w:r>
            <w:rPr>
              <w:sz w:val="28"/>
              <w:szCs w:val="28"/>
              <w:lang w:val="zh-CN"/>
            </w:rPr>
            <w:fldChar w:fldCharType="separate"/>
          </w:r>
          <w:r>
            <w:rPr>
              <w:rFonts w:hint="eastAsia" w:ascii="仿宋" w:hAnsi="仿宋" w:eastAsia="仿宋" w:cs="仿宋_GB2312"/>
              <w:bCs/>
              <w:sz w:val="28"/>
              <w:szCs w:val="28"/>
            </w:rPr>
            <w:t>1.</w:t>
          </w:r>
          <w:r>
            <w:rPr>
              <w:rFonts w:hint="eastAsia" w:ascii="仿宋" w:hAnsi="仿宋" w:eastAsia="仿宋" w:cs="仿宋_GB2312"/>
              <w:bCs/>
              <w:sz w:val="28"/>
              <w:szCs w:val="28"/>
              <w:lang w:val="en-US" w:eastAsia="zh-CN"/>
            </w:rPr>
            <w:t>全面</w:t>
          </w:r>
          <w:r>
            <w:rPr>
              <w:rFonts w:hint="eastAsia" w:ascii="仿宋" w:hAnsi="仿宋" w:eastAsia="仿宋" w:cs="仿宋_GB2312"/>
              <w:bCs/>
              <w:sz w:val="28"/>
              <w:szCs w:val="28"/>
            </w:rPr>
            <w:t>推进5G网络建设和应用</w:t>
          </w:r>
          <w:r>
            <w:rPr>
              <w:sz w:val="28"/>
              <w:szCs w:val="28"/>
            </w:rPr>
            <w:tab/>
          </w:r>
          <w:r>
            <w:rPr>
              <w:sz w:val="28"/>
              <w:szCs w:val="28"/>
            </w:rPr>
            <w:fldChar w:fldCharType="begin"/>
          </w:r>
          <w:r>
            <w:rPr>
              <w:sz w:val="28"/>
              <w:szCs w:val="28"/>
            </w:rPr>
            <w:instrText xml:space="preserve"> PAGEREF _Toc238 \h </w:instrText>
          </w:r>
          <w:r>
            <w:rPr>
              <w:sz w:val="28"/>
              <w:szCs w:val="28"/>
            </w:rPr>
            <w:fldChar w:fldCharType="separate"/>
          </w:r>
          <w:r>
            <w:rPr>
              <w:sz w:val="28"/>
              <w:szCs w:val="28"/>
            </w:rPr>
            <w:t>22</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_Toc25133 </w:instrText>
          </w:r>
          <w:r>
            <w:rPr>
              <w:sz w:val="28"/>
              <w:szCs w:val="28"/>
              <w:lang w:val="zh-CN"/>
            </w:rPr>
            <w:fldChar w:fldCharType="separate"/>
          </w:r>
          <w:r>
            <w:rPr>
              <w:rFonts w:ascii="仿宋" w:hAnsi="仿宋" w:eastAsia="仿宋" w:cs="仿宋_GB2312"/>
              <w:bCs/>
              <w:sz w:val="28"/>
              <w:szCs w:val="28"/>
            </w:rPr>
            <w:t>2.</w:t>
          </w:r>
          <w:r>
            <w:rPr>
              <w:rFonts w:hint="eastAsia" w:ascii="仿宋" w:hAnsi="仿宋" w:eastAsia="仿宋" w:cs="仿宋_GB2312"/>
              <w:bCs/>
              <w:sz w:val="28"/>
              <w:szCs w:val="28"/>
            </w:rPr>
            <w:t>全面</w:t>
          </w:r>
          <w:r>
            <w:rPr>
              <w:rFonts w:ascii="仿宋" w:hAnsi="仿宋" w:eastAsia="仿宋" w:cs="仿宋_GB2312"/>
              <w:bCs/>
              <w:sz w:val="28"/>
              <w:szCs w:val="28"/>
            </w:rPr>
            <w:t>支持数据中心</w:t>
          </w:r>
          <w:r>
            <w:rPr>
              <w:rFonts w:hint="eastAsia" w:ascii="仿宋" w:hAnsi="仿宋" w:eastAsia="仿宋" w:cs="仿宋_GB2312"/>
              <w:bCs/>
              <w:sz w:val="28"/>
              <w:szCs w:val="28"/>
            </w:rPr>
            <w:t>平台</w:t>
          </w:r>
          <w:r>
            <w:rPr>
              <w:rFonts w:ascii="仿宋" w:hAnsi="仿宋" w:eastAsia="仿宋" w:cs="仿宋_GB2312"/>
              <w:bCs/>
              <w:sz w:val="28"/>
              <w:szCs w:val="28"/>
            </w:rPr>
            <w:t>建设</w:t>
          </w:r>
          <w:r>
            <w:rPr>
              <w:sz w:val="28"/>
              <w:szCs w:val="28"/>
            </w:rPr>
            <w:tab/>
          </w:r>
          <w:r>
            <w:rPr>
              <w:sz w:val="28"/>
              <w:szCs w:val="28"/>
            </w:rPr>
            <w:fldChar w:fldCharType="begin"/>
          </w:r>
          <w:r>
            <w:rPr>
              <w:sz w:val="28"/>
              <w:szCs w:val="28"/>
            </w:rPr>
            <w:instrText xml:space="preserve"> PAGEREF _Toc25133 \h </w:instrText>
          </w:r>
          <w:r>
            <w:rPr>
              <w:sz w:val="28"/>
              <w:szCs w:val="28"/>
            </w:rPr>
            <w:fldChar w:fldCharType="separate"/>
          </w:r>
          <w:r>
            <w:rPr>
              <w:sz w:val="28"/>
              <w:szCs w:val="28"/>
            </w:rPr>
            <w:t>23</w:t>
          </w:r>
          <w:r>
            <w:rPr>
              <w:sz w:val="28"/>
              <w:szCs w:val="28"/>
            </w:rPr>
            <w:fldChar w:fldCharType="end"/>
          </w:r>
          <w:r>
            <w:rPr>
              <w:sz w:val="28"/>
              <w:szCs w:val="28"/>
              <w:lang w:val="zh-CN"/>
            </w:rPr>
            <w:fldChar w:fldCharType="end"/>
          </w:r>
        </w:p>
        <w:p>
          <w:pPr>
            <w:pStyle w:val="63"/>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_Toc5866 </w:instrText>
          </w:r>
          <w:r>
            <w:rPr>
              <w:sz w:val="28"/>
              <w:szCs w:val="28"/>
              <w:lang w:val="zh-CN"/>
            </w:rPr>
            <w:fldChar w:fldCharType="separate"/>
          </w:r>
          <w:r>
            <w:rPr>
              <w:rFonts w:hint="eastAsia" w:ascii="仿宋" w:hAnsi="仿宋" w:eastAsia="仿宋" w:cs="仿宋_GB2312"/>
              <w:bCs/>
              <w:sz w:val="28"/>
              <w:szCs w:val="28"/>
            </w:rPr>
            <w:t>3.全面建设融合型智能化基础设施</w:t>
          </w:r>
          <w:r>
            <w:rPr>
              <w:sz w:val="28"/>
              <w:szCs w:val="28"/>
            </w:rPr>
            <w:tab/>
          </w:r>
          <w:r>
            <w:rPr>
              <w:sz w:val="28"/>
              <w:szCs w:val="28"/>
            </w:rPr>
            <w:fldChar w:fldCharType="begin"/>
          </w:r>
          <w:r>
            <w:rPr>
              <w:sz w:val="28"/>
              <w:szCs w:val="28"/>
            </w:rPr>
            <w:instrText xml:space="preserve"> PAGEREF _Toc5866 \h </w:instrText>
          </w:r>
          <w:r>
            <w:rPr>
              <w:sz w:val="28"/>
              <w:szCs w:val="28"/>
            </w:rPr>
            <w:fldChar w:fldCharType="separate"/>
          </w:r>
          <w:r>
            <w:rPr>
              <w:sz w:val="28"/>
              <w:szCs w:val="28"/>
            </w:rPr>
            <w:t>23</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_Toc25657 </w:instrText>
          </w:r>
          <w:r>
            <w:rPr>
              <w:sz w:val="28"/>
              <w:szCs w:val="28"/>
              <w:lang w:val="zh-CN"/>
            </w:rPr>
            <w:fldChar w:fldCharType="separate"/>
          </w:r>
          <w:r>
            <w:rPr>
              <w:rFonts w:hint="eastAsia" w:ascii="黑体" w:hAnsi="黑体" w:eastAsia="黑体" w:cs="黑体"/>
              <w:sz w:val="28"/>
              <w:szCs w:val="28"/>
            </w:rPr>
            <w:t>五、保障措施</w:t>
          </w:r>
          <w:r>
            <w:rPr>
              <w:sz w:val="28"/>
              <w:szCs w:val="28"/>
            </w:rPr>
            <w:tab/>
          </w:r>
          <w:r>
            <w:rPr>
              <w:sz w:val="28"/>
              <w:szCs w:val="28"/>
            </w:rPr>
            <w:fldChar w:fldCharType="begin"/>
          </w:r>
          <w:r>
            <w:rPr>
              <w:sz w:val="28"/>
              <w:szCs w:val="28"/>
            </w:rPr>
            <w:instrText xml:space="preserve"> PAGEREF _Toc25657 \h </w:instrText>
          </w:r>
          <w:r>
            <w:rPr>
              <w:sz w:val="28"/>
              <w:szCs w:val="28"/>
            </w:rPr>
            <w:fldChar w:fldCharType="separate"/>
          </w:r>
          <w:r>
            <w:rPr>
              <w:sz w:val="28"/>
              <w:szCs w:val="28"/>
            </w:rPr>
            <w:t>24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_Toc6889 </w:instrText>
          </w:r>
          <w:r>
            <w:rPr>
              <w:sz w:val="28"/>
              <w:szCs w:val="28"/>
              <w:lang w:val="zh-CN"/>
            </w:rPr>
            <w:fldChar w:fldCharType="separate"/>
          </w:r>
          <w:r>
            <w:rPr>
              <w:rFonts w:hint="eastAsia" w:ascii="楷体" w:hAnsi="楷体" w:eastAsia="楷体" w:cs="楷体"/>
              <w:kern w:val="0"/>
              <w:sz w:val="28"/>
              <w:szCs w:val="28"/>
            </w:rPr>
            <w:t>（一）统筹协调，强化组织协调领导</w:t>
          </w:r>
          <w:r>
            <w:rPr>
              <w:sz w:val="28"/>
              <w:szCs w:val="28"/>
            </w:rPr>
            <w:tab/>
          </w:r>
          <w:r>
            <w:rPr>
              <w:sz w:val="28"/>
              <w:szCs w:val="28"/>
            </w:rPr>
            <w:fldChar w:fldCharType="begin"/>
          </w:r>
          <w:r>
            <w:rPr>
              <w:sz w:val="28"/>
              <w:szCs w:val="28"/>
            </w:rPr>
            <w:instrText xml:space="preserve"> PAGEREF _Toc6889 \h </w:instrText>
          </w:r>
          <w:r>
            <w:rPr>
              <w:sz w:val="28"/>
              <w:szCs w:val="28"/>
            </w:rPr>
            <w:fldChar w:fldCharType="separate"/>
          </w:r>
          <w:r>
            <w:rPr>
              <w:sz w:val="28"/>
              <w:szCs w:val="28"/>
            </w:rPr>
            <w:t>24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_Toc14196 </w:instrText>
          </w:r>
          <w:r>
            <w:rPr>
              <w:sz w:val="28"/>
              <w:szCs w:val="28"/>
              <w:lang w:val="zh-CN"/>
            </w:rPr>
            <w:fldChar w:fldCharType="separate"/>
          </w:r>
          <w:r>
            <w:rPr>
              <w:rFonts w:hint="eastAsia" w:ascii="楷体" w:hAnsi="楷体" w:eastAsia="楷体" w:cs="楷体"/>
              <w:kern w:val="0"/>
              <w:sz w:val="28"/>
              <w:szCs w:val="28"/>
            </w:rPr>
            <w:t>（二）政策扶持，支持重点项目建设</w:t>
          </w:r>
          <w:r>
            <w:rPr>
              <w:sz w:val="28"/>
              <w:szCs w:val="28"/>
            </w:rPr>
            <w:tab/>
          </w:r>
          <w:r>
            <w:rPr>
              <w:sz w:val="28"/>
              <w:szCs w:val="28"/>
            </w:rPr>
            <w:fldChar w:fldCharType="begin"/>
          </w:r>
          <w:r>
            <w:rPr>
              <w:sz w:val="28"/>
              <w:szCs w:val="28"/>
            </w:rPr>
            <w:instrText xml:space="preserve"> PAGEREF _Toc14196 \h </w:instrText>
          </w:r>
          <w:r>
            <w:rPr>
              <w:sz w:val="28"/>
              <w:szCs w:val="28"/>
            </w:rPr>
            <w:fldChar w:fldCharType="separate"/>
          </w:r>
          <w:r>
            <w:rPr>
              <w:sz w:val="28"/>
              <w:szCs w:val="28"/>
            </w:rPr>
            <w:t>24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_Toc2736 </w:instrText>
          </w:r>
          <w:r>
            <w:rPr>
              <w:sz w:val="28"/>
              <w:szCs w:val="28"/>
              <w:lang w:val="zh-CN"/>
            </w:rPr>
            <w:fldChar w:fldCharType="separate"/>
          </w:r>
          <w:r>
            <w:rPr>
              <w:rFonts w:hint="eastAsia" w:ascii="楷体" w:hAnsi="楷体" w:eastAsia="楷体" w:cs="楷体"/>
              <w:kern w:val="0"/>
              <w:sz w:val="28"/>
              <w:szCs w:val="28"/>
            </w:rPr>
            <w:t>（三）聚集资源，强化发展要素保障</w:t>
          </w:r>
          <w:r>
            <w:rPr>
              <w:sz w:val="28"/>
              <w:szCs w:val="28"/>
            </w:rPr>
            <w:tab/>
          </w:r>
          <w:r>
            <w:rPr>
              <w:sz w:val="28"/>
              <w:szCs w:val="28"/>
            </w:rPr>
            <w:fldChar w:fldCharType="begin"/>
          </w:r>
          <w:r>
            <w:rPr>
              <w:sz w:val="28"/>
              <w:szCs w:val="28"/>
            </w:rPr>
            <w:instrText xml:space="preserve"> PAGEREF _Toc2736 \h </w:instrText>
          </w:r>
          <w:r>
            <w:rPr>
              <w:sz w:val="28"/>
              <w:szCs w:val="28"/>
            </w:rPr>
            <w:fldChar w:fldCharType="separate"/>
          </w:r>
          <w:r>
            <w:rPr>
              <w:sz w:val="28"/>
              <w:szCs w:val="28"/>
            </w:rPr>
            <w:t>24</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_Toc5711 </w:instrText>
          </w:r>
          <w:r>
            <w:rPr>
              <w:sz w:val="28"/>
              <w:szCs w:val="28"/>
              <w:lang w:val="zh-CN"/>
            </w:rPr>
            <w:fldChar w:fldCharType="separate"/>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四</w:t>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安全防护，强化网络安全保障</w:t>
          </w:r>
          <w:r>
            <w:rPr>
              <w:sz w:val="28"/>
              <w:szCs w:val="28"/>
            </w:rPr>
            <w:tab/>
          </w:r>
          <w:r>
            <w:rPr>
              <w:sz w:val="28"/>
              <w:szCs w:val="28"/>
            </w:rPr>
            <w:fldChar w:fldCharType="begin"/>
          </w:r>
          <w:r>
            <w:rPr>
              <w:sz w:val="28"/>
              <w:szCs w:val="28"/>
            </w:rPr>
            <w:instrText xml:space="preserve"> PAGEREF _Toc5711 \h </w:instrText>
          </w:r>
          <w:r>
            <w:rPr>
              <w:sz w:val="28"/>
              <w:szCs w:val="28"/>
            </w:rPr>
            <w:fldChar w:fldCharType="separate"/>
          </w:r>
          <w:r>
            <w:rPr>
              <w:sz w:val="28"/>
              <w:szCs w:val="28"/>
            </w:rPr>
            <w:t>25</w:t>
          </w:r>
          <w:r>
            <w:rPr>
              <w:sz w:val="28"/>
              <w:szCs w:val="28"/>
            </w:rPr>
            <w:fldChar w:fldCharType="end"/>
          </w:r>
          <w:r>
            <w:rPr>
              <w:sz w:val="28"/>
              <w:szCs w:val="28"/>
              <w:lang w:val="zh-CN"/>
            </w:rPr>
            <w:fldChar w:fldCharType="end"/>
          </w:r>
        </w:p>
        <w:p>
          <w:pPr>
            <w:pStyle w:val="62"/>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_Toc9131 </w:instrText>
          </w:r>
          <w:r>
            <w:rPr>
              <w:sz w:val="28"/>
              <w:szCs w:val="28"/>
              <w:lang w:val="zh-CN"/>
            </w:rPr>
            <w:fldChar w:fldCharType="separate"/>
          </w:r>
          <w:r>
            <w:rPr>
              <w:rFonts w:hint="eastAsia" w:ascii="楷体" w:hAnsi="楷体" w:eastAsia="楷体" w:cs="楷体"/>
              <w:kern w:val="0"/>
              <w:sz w:val="28"/>
              <w:szCs w:val="28"/>
            </w:rPr>
            <w:t>（</w:t>
          </w:r>
          <w:r>
            <w:rPr>
              <w:rFonts w:hint="eastAsia" w:ascii="楷体" w:hAnsi="楷体" w:eastAsia="楷体" w:cs="楷体"/>
              <w:kern w:val="0"/>
              <w:sz w:val="28"/>
              <w:szCs w:val="28"/>
              <w:lang w:val="en-US" w:eastAsia="zh-CN"/>
            </w:rPr>
            <w:t>五</w:t>
          </w:r>
          <w:r>
            <w:rPr>
              <w:rFonts w:hint="eastAsia" w:ascii="楷体" w:hAnsi="楷体" w:eastAsia="楷体" w:cs="楷体"/>
              <w:kern w:val="0"/>
              <w:sz w:val="28"/>
              <w:szCs w:val="28"/>
            </w:rPr>
            <w:t>）营造氛围，丰富引导宣传形式</w:t>
          </w:r>
          <w:r>
            <w:rPr>
              <w:sz w:val="28"/>
              <w:szCs w:val="28"/>
            </w:rPr>
            <w:tab/>
          </w:r>
          <w:r>
            <w:rPr>
              <w:sz w:val="28"/>
              <w:szCs w:val="28"/>
            </w:rPr>
            <w:fldChar w:fldCharType="begin"/>
          </w:r>
          <w:r>
            <w:rPr>
              <w:sz w:val="28"/>
              <w:szCs w:val="28"/>
            </w:rPr>
            <w:instrText xml:space="preserve"> PAGEREF _Toc9131 \h </w:instrText>
          </w:r>
          <w:r>
            <w:rPr>
              <w:sz w:val="28"/>
              <w:szCs w:val="28"/>
            </w:rPr>
            <w:fldChar w:fldCharType="separate"/>
          </w:r>
          <w:r>
            <w:rPr>
              <w:sz w:val="28"/>
              <w:szCs w:val="28"/>
            </w:rPr>
            <w:t>25</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_Toc2986 </w:instrText>
          </w:r>
          <w:r>
            <w:rPr>
              <w:sz w:val="28"/>
              <w:szCs w:val="28"/>
              <w:lang w:val="zh-CN"/>
            </w:rPr>
            <w:fldChar w:fldCharType="separate"/>
          </w:r>
          <w:r>
            <w:rPr>
              <w:rFonts w:hint="eastAsia" w:ascii="黑体" w:hAnsi="黑体" w:eastAsia="黑体" w:cs="黑体"/>
              <w:bCs/>
              <w:sz w:val="28"/>
              <w:szCs w:val="28"/>
            </w:rPr>
            <w:t>附件1 永嘉县“十四五”数字经济重点项目（载体平台类）</w:t>
          </w:r>
          <w:r>
            <w:rPr>
              <w:sz w:val="28"/>
              <w:szCs w:val="28"/>
            </w:rPr>
            <w:tab/>
          </w:r>
          <w:r>
            <w:rPr>
              <w:sz w:val="28"/>
              <w:szCs w:val="28"/>
            </w:rPr>
            <w:fldChar w:fldCharType="begin"/>
          </w:r>
          <w:r>
            <w:rPr>
              <w:sz w:val="28"/>
              <w:szCs w:val="28"/>
            </w:rPr>
            <w:instrText xml:space="preserve"> PAGEREF _Toc2986 \h </w:instrText>
          </w:r>
          <w:r>
            <w:rPr>
              <w:sz w:val="28"/>
              <w:szCs w:val="28"/>
            </w:rPr>
            <w:fldChar w:fldCharType="separate"/>
          </w:r>
          <w:r>
            <w:rPr>
              <w:sz w:val="28"/>
              <w:szCs w:val="28"/>
            </w:rPr>
            <w:t>26</w:t>
          </w:r>
          <w:r>
            <w:rPr>
              <w:sz w:val="28"/>
              <w:szCs w:val="28"/>
            </w:rPr>
            <w:fldChar w:fldCharType="end"/>
          </w:r>
          <w:r>
            <w:rPr>
              <w:sz w:val="28"/>
              <w:szCs w:val="28"/>
              <w:lang w:val="zh-CN"/>
            </w:rPr>
            <w:fldChar w:fldCharType="end"/>
          </w:r>
        </w:p>
        <w:p>
          <w:pPr>
            <w:pStyle w:val="61"/>
            <w:keepNext w:val="0"/>
            <w:keepLines w:val="0"/>
            <w:pageBreakBefore w:val="0"/>
            <w:tabs>
              <w:tab w:val="right" w:leader="dot" w:pos="8618"/>
            </w:tabs>
            <w:kinsoku/>
            <w:wordWrap/>
            <w:overflowPunct/>
            <w:topLinePunct w:val="0"/>
            <w:autoSpaceDE/>
            <w:autoSpaceDN/>
            <w:bidi w:val="0"/>
            <w:adjustRightInd/>
            <w:snapToGrid/>
            <w:spacing w:line="540" w:lineRule="exact"/>
            <w:textAlignment w:val="auto"/>
            <w:rPr>
              <w:sz w:val="28"/>
              <w:szCs w:val="28"/>
            </w:rPr>
          </w:pPr>
          <w:r>
            <w:rPr>
              <w:sz w:val="28"/>
              <w:szCs w:val="28"/>
              <w:lang w:val="zh-CN"/>
            </w:rPr>
            <w:fldChar w:fldCharType="begin"/>
          </w:r>
          <w:r>
            <w:rPr>
              <w:sz w:val="28"/>
              <w:szCs w:val="28"/>
              <w:lang w:val="zh-CN"/>
            </w:rPr>
            <w:instrText xml:space="preserve"> HYPERLINK \l _Toc17036 </w:instrText>
          </w:r>
          <w:r>
            <w:rPr>
              <w:sz w:val="28"/>
              <w:szCs w:val="28"/>
              <w:lang w:val="zh-CN"/>
            </w:rPr>
            <w:fldChar w:fldCharType="separate"/>
          </w:r>
          <w:r>
            <w:rPr>
              <w:rFonts w:hint="eastAsia" w:ascii="黑体" w:hAnsi="黑体" w:eastAsia="黑体" w:cs="黑体"/>
              <w:bCs/>
              <w:sz w:val="28"/>
              <w:szCs w:val="28"/>
            </w:rPr>
            <w:t>附件2 永嘉县“十四五”数字经济重点项目（重点项目类）</w:t>
          </w:r>
          <w:r>
            <w:rPr>
              <w:sz w:val="28"/>
              <w:szCs w:val="28"/>
            </w:rPr>
            <w:tab/>
          </w:r>
          <w:r>
            <w:rPr>
              <w:sz w:val="28"/>
              <w:szCs w:val="28"/>
            </w:rPr>
            <w:fldChar w:fldCharType="begin"/>
          </w:r>
          <w:r>
            <w:rPr>
              <w:sz w:val="28"/>
              <w:szCs w:val="28"/>
            </w:rPr>
            <w:instrText xml:space="preserve"> PAGEREF _Toc17036 \h </w:instrText>
          </w:r>
          <w:r>
            <w:rPr>
              <w:sz w:val="28"/>
              <w:szCs w:val="28"/>
            </w:rPr>
            <w:fldChar w:fldCharType="separate"/>
          </w:r>
          <w:r>
            <w:rPr>
              <w:sz w:val="28"/>
              <w:szCs w:val="28"/>
            </w:rPr>
            <w:t>30</w:t>
          </w:r>
          <w:r>
            <w:rPr>
              <w:sz w:val="28"/>
              <w:szCs w:val="28"/>
            </w:rPr>
            <w:fldChar w:fldCharType="end"/>
          </w:r>
          <w:r>
            <w:rPr>
              <w:sz w:val="28"/>
              <w:szCs w:val="28"/>
              <w:lang w:val="zh-CN"/>
            </w:rPr>
            <w:fldChar w:fldCharType="end"/>
          </w:r>
        </w:p>
        <w:p>
          <w:pPr>
            <w:pStyle w:val="2"/>
            <w:keepNext w:val="0"/>
            <w:keepLines w:val="0"/>
            <w:pageBreakBefore w:val="0"/>
            <w:tabs>
              <w:tab w:val="left" w:pos="1647"/>
            </w:tabs>
            <w:kinsoku/>
            <w:wordWrap/>
            <w:overflowPunct/>
            <w:topLinePunct w:val="0"/>
            <w:autoSpaceDE/>
            <w:autoSpaceDN/>
            <w:bidi w:val="0"/>
            <w:adjustRightInd/>
            <w:snapToGrid/>
            <w:spacing w:line="540" w:lineRule="exact"/>
            <w:ind w:left="0" w:leftChars="0" w:firstLine="0" w:firstLineChars="0"/>
            <w:jc w:val="both"/>
            <w:textAlignment w:val="auto"/>
            <w:rPr>
              <w:lang w:val="zh-CN"/>
            </w:rPr>
            <w:sectPr>
              <w:footerReference r:id="rId12" w:type="default"/>
              <w:pgSz w:w="11906" w:h="16838"/>
              <w:pgMar w:top="1644" w:right="1644" w:bottom="1644" w:left="1644" w:header="851" w:footer="992" w:gutter="0"/>
              <w:pgNumType w:fmt="upperRoman" w:start="1"/>
              <w:cols w:space="425" w:num="1"/>
              <w:docGrid w:type="lines" w:linePitch="381" w:charSpace="0"/>
            </w:sectPr>
          </w:pPr>
          <w:r>
            <w:rPr>
              <w:sz w:val="28"/>
              <w:szCs w:val="28"/>
              <w:lang w:val="zh-CN"/>
            </w:rPr>
            <w:fldChar w:fldCharType="end"/>
          </w:r>
        </w:p>
      </w:sdtContent>
    </w:sdt>
    <w:p>
      <w:pPr>
        <w:pStyle w:val="27"/>
        <w:spacing w:before="190" w:beforeLines="50" w:after="190" w:afterLines="50" w:line="560" w:lineRule="exact"/>
        <w:ind w:firstLine="640"/>
        <w:outlineLvl w:val="0"/>
        <w:rPr>
          <w:rFonts w:ascii="黑体" w:hAnsi="黑体" w:eastAsia="黑体" w:cs="黑体"/>
          <w:kern w:val="44"/>
          <w:sz w:val="32"/>
          <w:szCs w:val="32"/>
        </w:rPr>
      </w:pPr>
      <w:bookmarkStart w:id="29" w:name="_Toc19190"/>
      <w:bookmarkStart w:id="30" w:name="_Toc18413"/>
      <w:bookmarkStart w:id="31" w:name="_Toc28636"/>
      <w:bookmarkStart w:id="32" w:name="_Toc10088"/>
      <w:bookmarkStart w:id="33" w:name="_Toc32276"/>
      <w:bookmarkStart w:id="34" w:name="_Toc7910"/>
      <w:bookmarkStart w:id="35" w:name="_Toc19133"/>
      <w:r>
        <w:rPr>
          <w:rFonts w:hint="eastAsia" w:ascii="黑体" w:hAnsi="黑体" w:eastAsia="黑体" w:cs="黑体"/>
          <w:kern w:val="44"/>
          <w:sz w:val="32"/>
          <w:szCs w:val="32"/>
        </w:rPr>
        <w:t>一、现实基础</w:t>
      </w:r>
      <w:bookmarkEnd w:id="29"/>
      <w:bookmarkEnd w:id="30"/>
      <w:bookmarkEnd w:id="31"/>
      <w:bookmarkEnd w:id="32"/>
      <w:bookmarkEnd w:id="33"/>
      <w:bookmarkEnd w:id="34"/>
      <w:bookmarkEnd w:id="35"/>
    </w:p>
    <w:p>
      <w:pPr>
        <w:spacing w:before="190" w:beforeLines="50" w:after="190" w:afterLines="50"/>
        <w:ind w:firstLine="640"/>
        <w:outlineLvl w:val="1"/>
        <w:rPr>
          <w:rFonts w:ascii="仿宋" w:hAnsi="仿宋" w:eastAsia="仿宋" w:cs="仿宋_GB2312"/>
          <w:kern w:val="0"/>
          <w:sz w:val="32"/>
          <w:szCs w:val="32"/>
        </w:rPr>
      </w:pPr>
      <w:bookmarkStart w:id="36" w:name="_Toc14353169"/>
      <w:bookmarkStart w:id="37" w:name="_Toc9777"/>
      <w:bookmarkStart w:id="38" w:name="_Toc4510"/>
      <w:bookmarkStart w:id="39" w:name="_Toc19484"/>
      <w:bookmarkStart w:id="40" w:name="_Toc26374"/>
      <w:bookmarkStart w:id="41" w:name="_Toc19398"/>
      <w:bookmarkStart w:id="42" w:name="_Toc29092"/>
      <w:bookmarkStart w:id="43" w:name="_Toc21185"/>
      <w:bookmarkStart w:id="44" w:name="_Toc2391"/>
      <w:bookmarkStart w:id="45" w:name="_Toc21039"/>
      <w:bookmarkStart w:id="46" w:name="_Toc30066"/>
      <w:bookmarkStart w:id="47" w:name="_Toc22995"/>
      <w:bookmarkStart w:id="48" w:name="_Toc1441"/>
      <w:bookmarkStart w:id="49" w:name="_Toc24310"/>
      <w:bookmarkStart w:id="50" w:name="_Toc4091"/>
      <w:bookmarkStart w:id="51" w:name="_Toc26249"/>
      <w:bookmarkStart w:id="52" w:name="_Toc19564"/>
      <w:bookmarkStart w:id="53" w:name="_Toc25556"/>
      <w:bookmarkStart w:id="54" w:name="_Toc32716"/>
      <w:bookmarkStart w:id="55" w:name="_Toc25527"/>
      <w:bookmarkStart w:id="56" w:name="_Toc24281"/>
      <w:bookmarkStart w:id="57" w:name="_Toc2117"/>
      <w:bookmarkStart w:id="58" w:name="_Toc32438"/>
      <w:bookmarkStart w:id="59" w:name="_Toc13446"/>
      <w:bookmarkStart w:id="60" w:name="_Toc1429"/>
      <w:bookmarkStart w:id="61" w:name="_Toc26083"/>
      <w:bookmarkStart w:id="62" w:name="_Toc32350"/>
      <w:bookmarkStart w:id="63" w:name="_Toc15409"/>
      <w:bookmarkStart w:id="64" w:name="_Toc30659"/>
      <w:bookmarkStart w:id="65" w:name="_Toc15102"/>
      <w:bookmarkStart w:id="66" w:name="_Toc2896"/>
      <w:bookmarkStart w:id="67" w:name="_Toc27101"/>
      <w:bookmarkStart w:id="68" w:name="_Toc12560"/>
      <w:bookmarkStart w:id="69" w:name="_Toc15376"/>
      <w:bookmarkStart w:id="70" w:name="_Toc21253"/>
      <w:bookmarkStart w:id="71" w:name="_Toc6951"/>
      <w:bookmarkStart w:id="72" w:name="_Toc6644"/>
      <w:r>
        <w:rPr>
          <w:rFonts w:hint="eastAsia" w:ascii="楷体" w:hAnsi="楷体" w:eastAsia="楷体" w:cs="楷体"/>
          <w:sz w:val="32"/>
          <w:szCs w:val="32"/>
        </w:rPr>
        <w:t>（一）</w:t>
      </w:r>
      <w:bookmarkEnd w:id="36"/>
      <w:bookmarkEnd w:id="37"/>
      <w:bookmarkEnd w:id="38"/>
      <w:r>
        <w:rPr>
          <w:rFonts w:hint="eastAsia" w:ascii="楷体" w:hAnsi="楷体" w:eastAsia="楷体" w:cs="楷体"/>
          <w:sz w:val="32"/>
          <w:szCs w:val="32"/>
        </w:rPr>
        <w:t>发展现状</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spacing w:before="190" w:beforeLines="50" w:after="190" w:afterLines="50"/>
        <w:ind w:firstLine="643"/>
        <w:outlineLvl w:val="2"/>
        <w:rPr>
          <w:rFonts w:ascii="仿宋" w:hAnsi="仿宋" w:eastAsia="仿宋" w:cs="仿宋_GB2312"/>
          <w:b/>
          <w:bCs/>
          <w:kern w:val="0"/>
          <w:sz w:val="32"/>
          <w:szCs w:val="32"/>
        </w:rPr>
      </w:pPr>
      <w:bookmarkStart w:id="73" w:name="_Toc5691"/>
      <w:bookmarkStart w:id="74" w:name="_Toc17072"/>
      <w:bookmarkStart w:id="75" w:name="_Toc15883"/>
      <w:bookmarkStart w:id="76" w:name="_Toc5181"/>
      <w:bookmarkStart w:id="77" w:name="_Toc4097"/>
      <w:bookmarkStart w:id="78" w:name="_Toc22825"/>
      <w:bookmarkStart w:id="79" w:name="_Toc11871"/>
      <w:bookmarkStart w:id="80" w:name="_Toc3386"/>
      <w:bookmarkStart w:id="81" w:name="_Toc13810"/>
      <w:bookmarkStart w:id="82" w:name="_Toc3042"/>
      <w:bookmarkStart w:id="83" w:name="_Toc2994"/>
      <w:bookmarkStart w:id="84" w:name="_Toc21992"/>
      <w:bookmarkStart w:id="85" w:name="_Toc29688"/>
      <w:bookmarkStart w:id="86" w:name="_Toc3879"/>
      <w:bookmarkStart w:id="87" w:name="_Toc13732"/>
      <w:bookmarkStart w:id="88" w:name="_Toc3963"/>
      <w:bookmarkStart w:id="89" w:name="_Toc27034"/>
      <w:bookmarkStart w:id="90" w:name="_Toc15882"/>
      <w:bookmarkStart w:id="91" w:name="_Toc6881"/>
      <w:bookmarkStart w:id="92" w:name="_Toc17692"/>
      <w:bookmarkStart w:id="93" w:name="_Toc2825"/>
      <w:bookmarkStart w:id="94" w:name="_Toc7816"/>
      <w:bookmarkStart w:id="95" w:name="_Toc17647"/>
      <w:bookmarkStart w:id="96" w:name="_Toc7291"/>
      <w:bookmarkStart w:id="97" w:name="_Toc23360"/>
      <w:bookmarkStart w:id="98" w:name="_Toc17968"/>
      <w:bookmarkStart w:id="99" w:name="_Toc21571"/>
      <w:bookmarkStart w:id="100" w:name="_Toc9246"/>
      <w:bookmarkStart w:id="101" w:name="_Toc24326"/>
      <w:bookmarkStart w:id="102" w:name="_Toc9756"/>
      <w:r>
        <w:rPr>
          <w:rFonts w:hint="eastAsia" w:ascii="仿宋" w:hAnsi="仿宋" w:eastAsia="仿宋" w:cs="仿宋_GB2312"/>
          <w:b/>
          <w:bCs/>
          <w:kern w:val="0"/>
          <w:sz w:val="32"/>
          <w:szCs w:val="32"/>
        </w:rPr>
        <w:t>1.总体水平稳步提升，发展环境日益优化</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ind w:firstLine="64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我县</w:t>
      </w:r>
      <w:r>
        <w:rPr>
          <w:rFonts w:ascii="仿宋" w:hAnsi="仿宋" w:eastAsia="仿宋" w:cs="仿宋_GB2312"/>
          <w:kern w:val="0"/>
          <w:sz w:val="32"/>
          <w:szCs w:val="32"/>
        </w:rPr>
        <w:t>把数字经济作为推动高质量发展的主要抓手</w:t>
      </w:r>
      <w:r>
        <w:rPr>
          <w:rFonts w:hint="eastAsia" w:ascii="仿宋" w:hAnsi="仿宋" w:eastAsia="仿宋" w:cs="仿宋_GB2312"/>
          <w:kern w:val="0"/>
          <w:sz w:val="32"/>
          <w:szCs w:val="32"/>
        </w:rPr>
        <w:t>，通过一系列扎实具体的工作举措，</w:t>
      </w:r>
      <w:r>
        <w:rPr>
          <w:rFonts w:hint="eastAsia" w:ascii="仿宋" w:hAnsi="仿宋" w:eastAsia="仿宋" w:cs="仿宋_GB2312"/>
          <w:kern w:val="0"/>
          <w:sz w:val="32"/>
          <w:szCs w:val="32"/>
          <w:lang w:val="en-US" w:eastAsia="zh-CN"/>
        </w:rPr>
        <w:t>推进</w:t>
      </w:r>
      <w:r>
        <w:rPr>
          <w:rFonts w:ascii="仿宋" w:hAnsi="仿宋" w:eastAsia="仿宋" w:cs="仿宋_GB2312"/>
          <w:kern w:val="0"/>
          <w:sz w:val="32"/>
          <w:szCs w:val="32"/>
        </w:rPr>
        <w:t>数字经济</w:t>
      </w:r>
      <w:r>
        <w:rPr>
          <w:rFonts w:hint="eastAsia" w:ascii="仿宋" w:hAnsi="仿宋" w:eastAsia="仿宋" w:cs="仿宋_GB2312"/>
          <w:kern w:val="0"/>
          <w:sz w:val="32"/>
          <w:szCs w:val="32"/>
        </w:rPr>
        <w:t>总体</w:t>
      </w:r>
      <w:r>
        <w:rPr>
          <w:rFonts w:ascii="仿宋" w:hAnsi="仿宋" w:eastAsia="仿宋" w:cs="仿宋_GB2312"/>
          <w:kern w:val="0"/>
          <w:sz w:val="32"/>
          <w:szCs w:val="32"/>
        </w:rPr>
        <w:t>水平</w:t>
      </w:r>
      <w:r>
        <w:rPr>
          <w:rFonts w:hint="eastAsia" w:ascii="仿宋" w:hAnsi="仿宋" w:eastAsia="仿宋" w:cs="仿宋_GB2312"/>
          <w:kern w:val="0"/>
          <w:sz w:val="32"/>
          <w:szCs w:val="32"/>
        </w:rPr>
        <w:t>不断</w:t>
      </w:r>
      <w:r>
        <w:rPr>
          <w:rFonts w:ascii="仿宋" w:hAnsi="仿宋" w:eastAsia="仿宋" w:cs="仿宋_GB2312"/>
          <w:kern w:val="0"/>
          <w:sz w:val="32"/>
          <w:szCs w:val="32"/>
        </w:rPr>
        <w:t>提升。20</w:t>
      </w:r>
      <w:r>
        <w:rPr>
          <w:rFonts w:hint="eastAsia" w:ascii="仿宋" w:hAnsi="仿宋" w:eastAsia="仿宋" w:cs="仿宋_GB2312"/>
          <w:kern w:val="0"/>
          <w:sz w:val="32"/>
          <w:szCs w:val="32"/>
        </w:rPr>
        <w:t>20年数字经济综合评价指数76.1，位列全省第48</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温州第7</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两化融合</w:t>
      </w:r>
      <w:r>
        <w:rPr>
          <w:rFonts w:hint="eastAsia" w:ascii="仿宋" w:hAnsi="仿宋" w:eastAsia="仿宋" w:cs="仿宋_GB2312"/>
          <w:kern w:val="0"/>
          <w:sz w:val="32"/>
          <w:szCs w:val="32"/>
          <w:lang w:val="en-US" w:eastAsia="zh-CN"/>
        </w:rPr>
        <w:t>发展</w:t>
      </w:r>
      <w:r>
        <w:rPr>
          <w:rFonts w:hint="eastAsia" w:ascii="仿宋" w:hAnsi="仿宋" w:eastAsia="仿宋" w:cs="仿宋_GB2312"/>
          <w:kern w:val="0"/>
          <w:sz w:val="32"/>
          <w:szCs w:val="32"/>
        </w:rPr>
        <w:t>指数99.41，位列全省第32位，连续六年跻身全省第一梯队</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信息化发展总指数99.8，在全省26个加快发展县中位居第4。县委县政府高度重视数字经济发展，成立永嘉县数字经济发展领导小组，建立永嘉县数字经济发展指标研判工作联席会议制度，出台一系列文件，加大政策扶持力度。</w:t>
      </w:r>
    </w:p>
    <w:p>
      <w:pPr>
        <w:spacing w:before="190" w:beforeLines="50" w:after="190" w:afterLines="50"/>
        <w:ind w:firstLine="643"/>
        <w:outlineLvl w:val="2"/>
        <w:rPr>
          <w:rFonts w:ascii="仿宋" w:hAnsi="仿宋" w:eastAsia="仿宋" w:cs="仿宋_GB2312"/>
          <w:b/>
          <w:bCs/>
          <w:kern w:val="0"/>
          <w:sz w:val="32"/>
          <w:szCs w:val="32"/>
        </w:rPr>
      </w:pPr>
      <w:bookmarkStart w:id="103" w:name="_Toc521966780"/>
      <w:bookmarkStart w:id="104" w:name="_Toc1419"/>
      <w:bookmarkStart w:id="105" w:name="_Toc15203"/>
      <w:bookmarkStart w:id="106" w:name="_Toc17185"/>
      <w:bookmarkStart w:id="107" w:name="_Toc14940"/>
      <w:bookmarkStart w:id="108" w:name="_Toc23343"/>
      <w:bookmarkStart w:id="109" w:name="_Toc12433"/>
      <w:bookmarkStart w:id="110" w:name="_Toc1353"/>
      <w:bookmarkStart w:id="111" w:name="_Toc9834"/>
      <w:bookmarkStart w:id="112" w:name="_Toc28120"/>
      <w:bookmarkStart w:id="113" w:name="_Toc5009"/>
      <w:bookmarkStart w:id="114" w:name="_Toc24057"/>
      <w:bookmarkStart w:id="115" w:name="_Toc6958"/>
      <w:bookmarkStart w:id="116" w:name="_Toc279"/>
      <w:bookmarkStart w:id="117" w:name="_Toc5695"/>
      <w:bookmarkStart w:id="118" w:name="_Toc17260"/>
      <w:bookmarkStart w:id="119" w:name="_Toc5821"/>
      <w:bookmarkStart w:id="120" w:name="_Toc29790"/>
      <w:bookmarkStart w:id="121" w:name="_Toc9041"/>
      <w:bookmarkStart w:id="122" w:name="_Toc27265"/>
      <w:bookmarkStart w:id="123" w:name="_Toc8741"/>
      <w:bookmarkStart w:id="124" w:name="_Toc17159"/>
      <w:bookmarkStart w:id="125" w:name="_Toc3616"/>
      <w:bookmarkStart w:id="126" w:name="_Toc9259"/>
      <w:bookmarkStart w:id="127" w:name="_Toc6962"/>
      <w:bookmarkStart w:id="128" w:name="_Toc17122"/>
      <w:bookmarkStart w:id="129" w:name="_Toc30372"/>
      <w:bookmarkStart w:id="130" w:name="_Toc19646"/>
      <w:bookmarkStart w:id="131" w:name="_Toc22131"/>
      <w:bookmarkStart w:id="132" w:name="_Toc2654"/>
      <w:bookmarkStart w:id="133" w:name="_Toc31413"/>
      <w:bookmarkStart w:id="134" w:name="_Toc25433"/>
      <w:bookmarkStart w:id="135" w:name="_Toc4446"/>
      <w:bookmarkStart w:id="136" w:name="_Toc16357"/>
      <w:bookmarkStart w:id="137" w:name="_Toc28699"/>
      <w:r>
        <w:rPr>
          <w:rFonts w:hint="eastAsia" w:ascii="仿宋" w:hAnsi="仿宋" w:eastAsia="仿宋" w:cs="仿宋_GB2312"/>
          <w:b/>
          <w:bCs/>
          <w:kern w:val="0"/>
          <w:sz w:val="32"/>
          <w:szCs w:val="32"/>
        </w:rPr>
        <w:t>2.数字产业增长较快，</w:t>
      </w:r>
      <w:bookmarkEnd w:id="103"/>
      <w:r>
        <w:rPr>
          <w:rFonts w:hint="eastAsia" w:ascii="仿宋" w:hAnsi="仿宋" w:eastAsia="仿宋" w:cs="仿宋_GB2312"/>
          <w:b/>
          <w:bCs/>
          <w:kern w:val="0"/>
          <w:sz w:val="32"/>
          <w:szCs w:val="32"/>
        </w:rPr>
        <w:t>招商引资卓有成效</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ind w:firstLine="640"/>
        <w:rPr>
          <w:rFonts w:ascii="仿宋" w:hAnsi="仿宋" w:eastAsia="仿宋" w:cs="仿宋_GB2312"/>
          <w:kern w:val="0"/>
          <w:sz w:val="32"/>
          <w:szCs w:val="32"/>
        </w:rPr>
      </w:pPr>
      <w:bookmarkStart w:id="138" w:name="_Toc521966782"/>
      <w:r>
        <w:rPr>
          <w:rFonts w:hint="eastAsia" w:ascii="仿宋" w:hAnsi="仿宋" w:eastAsia="仿宋" w:cs="仿宋_GB2312"/>
          <w:kern w:val="0"/>
          <w:sz w:val="32"/>
          <w:szCs w:val="32"/>
        </w:rPr>
        <w:t>全县拥有数字经济规上企业</w:t>
      </w:r>
      <w:r>
        <w:rPr>
          <w:rFonts w:hint="eastAsia" w:ascii="仿宋" w:hAnsi="仿宋" w:eastAsia="仿宋" w:cs="仿宋_GB2312"/>
          <w:kern w:val="0"/>
          <w:sz w:val="32"/>
          <w:szCs w:val="32"/>
          <w:highlight w:val="none"/>
        </w:rPr>
        <w:t>29</w:t>
      </w:r>
      <w:r>
        <w:rPr>
          <w:rFonts w:hint="eastAsia" w:ascii="仿宋" w:hAnsi="仿宋" w:eastAsia="仿宋" w:cs="仿宋_GB2312"/>
          <w:kern w:val="0"/>
          <w:sz w:val="32"/>
          <w:szCs w:val="32"/>
        </w:rPr>
        <w:t>家，在专用智能装备等细分领域具有一定优势，2020年全县数字经济核心产业增加值23.4亿元，同比增长11.1%。数字经济招商引资成效明显，围绕数据存储、电力电器、电子芯片和电子商务等新兴产业，引进了一批“大优高”项目。总规划面积3.03平方千米的物联智造小镇正在抓紧建设之中。</w:t>
      </w:r>
    </w:p>
    <w:p>
      <w:pPr>
        <w:spacing w:before="190" w:beforeLines="50" w:after="190" w:afterLines="50"/>
        <w:ind w:firstLine="643"/>
        <w:outlineLvl w:val="2"/>
        <w:rPr>
          <w:rFonts w:ascii="仿宋" w:hAnsi="仿宋" w:eastAsia="仿宋" w:cs="仿宋_GB2312"/>
          <w:b/>
          <w:bCs/>
          <w:kern w:val="0"/>
          <w:sz w:val="32"/>
          <w:szCs w:val="32"/>
        </w:rPr>
      </w:pPr>
      <w:bookmarkStart w:id="139" w:name="_Toc521966781"/>
      <w:bookmarkStart w:id="140" w:name="_Toc4723"/>
      <w:bookmarkStart w:id="141" w:name="_Toc9910"/>
      <w:bookmarkStart w:id="142" w:name="_Toc24691"/>
      <w:bookmarkStart w:id="143" w:name="_Toc11328"/>
      <w:bookmarkStart w:id="144" w:name="_Toc28296"/>
      <w:bookmarkStart w:id="145" w:name="_Toc11041"/>
      <w:bookmarkStart w:id="146" w:name="_Toc28644"/>
      <w:bookmarkStart w:id="147" w:name="_Toc5430"/>
      <w:bookmarkStart w:id="148" w:name="_Toc6378"/>
      <w:bookmarkStart w:id="149" w:name="_Toc26336"/>
      <w:bookmarkStart w:id="150" w:name="_Toc3452"/>
      <w:bookmarkStart w:id="151" w:name="_Toc30317"/>
      <w:bookmarkStart w:id="152" w:name="_Toc29488"/>
      <w:bookmarkStart w:id="153" w:name="_Toc2820"/>
      <w:bookmarkStart w:id="154" w:name="_Toc11012"/>
      <w:bookmarkStart w:id="155" w:name="_Toc3530"/>
      <w:bookmarkStart w:id="156" w:name="_Toc18260"/>
      <w:bookmarkStart w:id="157" w:name="_Toc18390"/>
      <w:bookmarkStart w:id="158" w:name="_Toc5932"/>
      <w:bookmarkStart w:id="159" w:name="_Toc6573"/>
      <w:bookmarkStart w:id="160" w:name="_Toc10462"/>
      <w:bookmarkStart w:id="161" w:name="_Toc1542"/>
      <w:bookmarkStart w:id="162" w:name="_Toc12119"/>
      <w:bookmarkStart w:id="163" w:name="_Toc5211"/>
      <w:bookmarkStart w:id="164" w:name="_Toc21438"/>
      <w:bookmarkStart w:id="165" w:name="_Toc29615"/>
      <w:bookmarkStart w:id="166" w:name="_Toc7730"/>
      <w:bookmarkStart w:id="167" w:name="_Toc27229"/>
      <w:bookmarkStart w:id="168" w:name="_Toc30597"/>
      <w:bookmarkStart w:id="169" w:name="_Toc32563"/>
      <w:bookmarkStart w:id="170" w:name="_Toc8961"/>
      <w:bookmarkStart w:id="171" w:name="_Toc32664"/>
      <w:bookmarkStart w:id="172" w:name="_Toc29707"/>
      <w:bookmarkStart w:id="173" w:name="_Toc22370"/>
      <w:r>
        <w:rPr>
          <w:rFonts w:hint="eastAsia" w:ascii="仿宋" w:hAnsi="仿宋" w:eastAsia="仿宋" w:cs="仿宋_GB2312"/>
          <w:b/>
          <w:bCs/>
          <w:kern w:val="0"/>
          <w:sz w:val="32"/>
          <w:szCs w:val="32"/>
        </w:rPr>
        <w:t>3.两化融合深入推进，</w:t>
      </w:r>
      <w:bookmarkEnd w:id="139"/>
      <w:r>
        <w:rPr>
          <w:rFonts w:hint="eastAsia" w:ascii="仿宋" w:hAnsi="仿宋" w:eastAsia="仿宋" w:cs="仿宋_GB2312"/>
          <w:b/>
          <w:bCs/>
          <w:kern w:val="0"/>
          <w:sz w:val="32"/>
          <w:szCs w:val="32"/>
        </w:rPr>
        <w:t>数字改造成效良好</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我县坚定不移推动工业数字化转型升级，</w:t>
      </w:r>
      <w:r>
        <w:rPr>
          <w:rFonts w:hint="eastAsia" w:ascii="仿宋" w:hAnsi="仿宋" w:eastAsia="仿宋" w:cs="仿宋_GB2312"/>
          <w:kern w:val="0"/>
          <w:sz w:val="32"/>
          <w:szCs w:val="32"/>
          <w:lang w:val="en-US" w:eastAsia="zh-CN"/>
        </w:rPr>
        <w:t>产业数字化走在全省前列。截至目前，全县</w:t>
      </w:r>
      <w:r>
        <w:rPr>
          <w:rFonts w:hint="eastAsia" w:ascii="仿宋" w:hAnsi="仿宋" w:eastAsia="仿宋" w:cs="仿宋_GB2312"/>
          <w:kern w:val="0"/>
          <w:sz w:val="32"/>
          <w:szCs w:val="32"/>
        </w:rPr>
        <w:t>累计在役工业机器人535台，完成企业上云5000余家，</w:t>
      </w:r>
      <w:r>
        <w:rPr>
          <w:rFonts w:hint="eastAsia" w:ascii="仿宋" w:hAnsi="仿宋" w:eastAsia="仿宋" w:cs="仿宋_GB2312"/>
          <w:kern w:val="0"/>
          <w:sz w:val="32"/>
          <w:szCs w:val="32"/>
          <w:lang w:val="en-US" w:eastAsia="zh-CN"/>
        </w:rPr>
        <w:t>打造</w:t>
      </w:r>
      <w:r>
        <w:rPr>
          <w:rFonts w:hint="eastAsia" w:ascii="仿宋" w:hAnsi="仿宋" w:eastAsia="仿宋" w:cs="仿宋_GB2312"/>
          <w:kern w:val="0"/>
          <w:sz w:val="32"/>
          <w:szCs w:val="32"/>
        </w:rPr>
        <w:t>省级数字化车间/智能工厂</w:t>
      </w:r>
      <w:r>
        <w:rPr>
          <w:rFonts w:hint="eastAsia" w:ascii="仿宋" w:hAnsi="仿宋" w:eastAsia="仿宋" w:cs="仿宋_GB2312"/>
          <w:kern w:val="0"/>
          <w:sz w:val="32"/>
          <w:szCs w:val="32"/>
          <w:lang w:val="en-US" w:eastAsia="zh-CN"/>
        </w:rPr>
        <w:t>5个</w:t>
      </w:r>
      <w:r>
        <w:rPr>
          <w:rFonts w:hint="eastAsia" w:ascii="仿宋" w:hAnsi="仿宋" w:eastAsia="仿宋" w:cs="仿宋_GB2312"/>
          <w:kern w:val="0"/>
          <w:sz w:val="32"/>
          <w:szCs w:val="32"/>
        </w:rPr>
        <w:t>。全力打造工业互联网平台，</w:t>
      </w:r>
      <w:r>
        <w:rPr>
          <w:rFonts w:hint="eastAsia" w:ascii="仿宋" w:hAnsi="仿宋" w:eastAsia="仿宋" w:cs="仿宋_GB2312"/>
          <w:kern w:val="0"/>
          <w:sz w:val="32"/>
          <w:szCs w:val="32"/>
          <w:lang w:val="en-US" w:eastAsia="zh-CN"/>
        </w:rPr>
        <w:t>培育省级</w:t>
      </w:r>
      <w:r>
        <w:rPr>
          <w:rFonts w:hint="eastAsia" w:ascii="仿宋" w:hAnsi="仿宋" w:eastAsia="仿宋" w:cs="仿宋_GB2312"/>
          <w:kern w:val="0"/>
          <w:sz w:val="32"/>
          <w:szCs w:val="32"/>
        </w:rPr>
        <w:t>工业互联网</w:t>
      </w:r>
      <w:r>
        <w:rPr>
          <w:rFonts w:hint="eastAsia" w:ascii="仿宋" w:hAnsi="仿宋" w:eastAsia="仿宋" w:cs="仿宋_GB2312"/>
          <w:kern w:val="0"/>
          <w:sz w:val="32"/>
          <w:szCs w:val="32"/>
          <w:lang w:val="en-US" w:eastAsia="zh-CN"/>
        </w:rPr>
        <w:t>创建</w:t>
      </w:r>
      <w:r>
        <w:rPr>
          <w:rFonts w:hint="eastAsia" w:ascii="仿宋" w:hAnsi="仿宋" w:eastAsia="仿宋" w:cs="仿宋_GB2312"/>
          <w:kern w:val="0"/>
          <w:sz w:val="32"/>
          <w:szCs w:val="32"/>
        </w:rPr>
        <w:t>平台</w:t>
      </w:r>
      <w:r>
        <w:rPr>
          <w:rFonts w:hint="eastAsia" w:ascii="仿宋" w:hAnsi="仿宋" w:eastAsia="仿宋" w:cs="仿宋_GB2312"/>
          <w:kern w:val="0"/>
          <w:sz w:val="32"/>
          <w:szCs w:val="32"/>
          <w:lang w:val="en-US" w:eastAsia="zh-CN"/>
        </w:rPr>
        <w:t>7个</w:t>
      </w:r>
      <w:r>
        <w:rPr>
          <w:rFonts w:hint="eastAsia" w:ascii="仿宋" w:hAnsi="仿宋" w:eastAsia="仿宋" w:cs="仿宋_GB2312"/>
          <w:kern w:val="0"/>
          <w:sz w:val="32"/>
          <w:szCs w:val="32"/>
        </w:rPr>
        <w:t>，数量居全省县（市、区）第三，入选省级工业互联网平台建设及应用重点示范县。永嘉泵阀（工业阀）产业大脑入选全省第一批行业产业大脑建设试点“揭榜挂帅”项目名单。</w:t>
      </w:r>
      <w:r>
        <w:rPr>
          <w:rFonts w:hint="eastAsia" w:ascii="仿宋" w:hAnsi="仿宋" w:eastAsia="仿宋" w:cs="仿宋_GB2312"/>
          <w:kern w:val="0"/>
          <w:sz w:val="32"/>
          <w:szCs w:val="32"/>
          <w:lang w:val="en-US" w:eastAsia="zh-CN"/>
        </w:rPr>
        <w:t>数字化改造支持服务不断加强，培育</w:t>
      </w:r>
      <w:r>
        <w:rPr>
          <w:rFonts w:hint="eastAsia" w:ascii="仿宋" w:hAnsi="仿宋" w:eastAsia="仿宋" w:cs="仿宋_GB2312"/>
          <w:kern w:val="0"/>
          <w:sz w:val="32"/>
          <w:szCs w:val="32"/>
        </w:rPr>
        <w:t>省级工业信息工程服务机构2个。</w:t>
      </w:r>
    </w:p>
    <w:p>
      <w:pPr>
        <w:spacing w:before="190" w:beforeLines="50" w:after="190" w:afterLines="50"/>
        <w:ind w:firstLine="643"/>
        <w:outlineLvl w:val="2"/>
        <w:rPr>
          <w:rFonts w:ascii="仿宋" w:hAnsi="仿宋" w:eastAsia="仿宋" w:cs="仿宋_GB2312"/>
          <w:b/>
          <w:bCs/>
          <w:kern w:val="0"/>
          <w:sz w:val="32"/>
          <w:szCs w:val="32"/>
        </w:rPr>
      </w:pPr>
      <w:bookmarkStart w:id="174" w:name="_Toc20566"/>
      <w:bookmarkStart w:id="175" w:name="_Toc14039"/>
      <w:bookmarkStart w:id="176" w:name="_Toc16188"/>
      <w:bookmarkStart w:id="177" w:name="_Toc25217"/>
      <w:bookmarkStart w:id="178" w:name="_Toc7669"/>
      <w:bookmarkStart w:id="179" w:name="_Toc23392"/>
      <w:bookmarkStart w:id="180" w:name="_Toc8298"/>
      <w:bookmarkStart w:id="181" w:name="_Toc12469"/>
      <w:bookmarkStart w:id="182" w:name="_Toc6923"/>
      <w:bookmarkStart w:id="183" w:name="_Toc6969"/>
      <w:bookmarkStart w:id="184" w:name="_Toc8487"/>
      <w:bookmarkStart w:id="185" w:name="_Toc2585"/>
      <w:bookmarkStart w:id="186" w:name="_Toc336"/>
      <w:bookmarkStart w:id="187" w:name="_Toc31421"/>
      <w:bookmarkStart w:id="188" w:name="_Toc15010"/>
      <w:bookmarkStart w:id="189" w:name="_Toc9464"/>
      <w:bookmarkStart w:id="190" w:name="_Toc18166"/>
      <w:bookmarkStart w:id="191" w:name="_Toc18475"/>
      <w:bookmarkStart w:id="192" w:name="_Toc32048"/>
      <w:bookmarkStart w:id="193" w:name="_Toc26264"/>
      <w:bookmarkStart w:id="194" w:name="_Toc1389"/>
      <w:bookmarkStart w:id="195" w:name="_Toc25961"/>
      <w:bookmarkStart w:id="196" w:name="_Toc5365"/>
      <w:bookmarkStart w:id="197" w:name="_Toc13789"/>
      <w:bookmarkStart w:id="198" w:name="_Toc20790"/>
      <w:bookmarkStart w:id="199" w:name="_Toc9038"/>
      <w:bookmarkStart w:id="200" w:name="_Toc1395"/>
      <w:bookmarkStart w:id="201" w:name="_Toc8309"/>
      <w:bookmarkStart w:id="202" w:name="_Toc18620"/>
      <w:bookmarkStart w:id="203" w:name="_Toc28042"/>
      <w:bookmarkStart w:id="204" w:name="_Toc30307"/>
      <w:bookmarkStart w:id="205" w:name="_Toc25187"/>
      <w:bookmarkStart w:id="206" w:name="_Toc26209"/>
      <w:bookmarkStart w:id="207" w:name="_Toc25941"/>
      <w:r>
        <w:rPr>
          <w:rFonts w:hint="eastAsia" w:ascii="仿宋" w:hAnsi="仿宋" w:eastAsia="仿宋" w:cs="仿宋_GB2312"/>
          <w:b/>
          <w:bCs/>
          <w:kern w:val="0"/>
          <w:sz w:val="32"/>
          <w:szCs w:val="32"/>
        </w:rPr>
        <w:t>4.电子商务快速发展，</w:t>
      </w:r>
      <w:bookmarkEnd w:id="138"/>
      <w:r>
        <w:rPr>
          <w:rFonts w:hint="eastAsia" w:ascii="仿宋" w:hAnsi="仿宋" w:eastAsia="仿宋" w:cs="仿宋_GB2312"/>
          <w:b/>
          <w:bCs/>
          <w:kern w:val="0"/>
          <w:sz w:val="32"/>
          <w:szCs w:val="32"/>
        </w:rPr>
        <w:t>新型业态不断</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hint="eastAsia" w:ascii="仿宋" w:hAnsi="仿宋" w:eastAsia="仿宋" w:cs="仿宋_GB2312"/>
          <w:b/>
          <w:bCs/>
          <w:kern w:val="0"/>
          <w:sz w:val="32"/>
          <w:szCs w:val="32"/>
        </w:rPr>
        <w:t>涌现</w:t>
      </w:r>
      <w:bookmarkEnd w:id="198"/>
      <w:bookmarkEnd w:id="199"/>
      <w:bookmarkEnd w:id="200"/>
      <w:bookmarkEnd w:id="201"/>
      <w:bookmarkEnd w:id="202"/>
      <w:bookmarkEnd w:id="203"/>
      <w:bookmarkEnd w:id="204"/>
      <w:bookmarkEnd w:id="205"/>
      <w:bookmarkEnd w:id="206"/>
      <w:bookmarkEnd w:id="207"/>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我县紧扣特色产业，围绕鞋服、泵阀、教玩具、服装辅料等传统支柱产业</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深入</w:t>
      </w:r>
      <w:r>
        <w:rPr>
          <w:rFonts w:hint="eastAsia" w:ascii="仿宋" w:hAnsi="仿宋" w:eastAsia="仿宋" w:cs="仿宋_GB2312"/>
          <w:kern w:val="0"/>
          <w:sz w:val="32"/>
          <w:szCs w:val="32"/>
          <w:lang w:val="en-US" w:eastAsia="zh-CN"/>
        </w:rPr>
        <w:t>推进电子商务</w:t>
      </w:r>
      <w:r>
        <w:rPr>
          <w:rFonts w:hint="eastAsia" w:ascii="仿宋" w:hAnsi="仿宋" w:eastAsia="仿宋" w:cs="仿宋_GB2312"/>
          <w:kern w:val="0"/>
          <w:sz w:val="32"/>
          <w:szCs w:val="32"/>
        </w:rPr>
        <w:t>广泛应用，孵化出一批电商示范企业</w:t>
      </w:r>
      <w:r>
        <w:rPr>
          <w:rFonts w:hint="eastAsia" w:ascii="仿宋" w:hAnsi="仿宋" w:eastAsia="仿宋" w:cs="仿宋_GB2312"/>
          <w:kern w:val="0"/>
          <w:sz w:val="32"/>
          <w:szCs w:val="32"/>
          <w:lang w:val="en-US" w:eastAsia="zh-CN"/>
        </w:rPr>
        <w:t>和</w:t>
      </w:r>
      <w:r>
        <w:rPr>
          <w:rFonts w:hint="eastAsia" w:ascii="仿宋" w:hAnsi="仿宋" w:eastAsia="仿宋" w:cs="仿宋_GB2312"/>
          <w:kern w:val="0"/>
          <w:sz w:val="32"/>
          <w:szCs w:val="32"/>
        </w:rPr>
        <w:t>创新创业团队</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全</w:t>
      </w:r>
      <w:r>
        <w:rPr>
          <w:rFonts w:hint="eastAsia" w:ascii="仿宋" w:hAnsi="仿宋" w:eastAsia="仿宋" w:cs="仿宋_GB2312"/>
          <w:kern w:val="0"/>
          <w:sz w:val="32"/>
          <w:szCs w:val="32"/>
        </w:rPr>
        <w:t>县电子商务产业得到了飞跃性发展，网络交易规模显著扩大。2020年全县实现网络零售额200.94亿元，同比增长7.8%，位列全省第30位。我县被评为“全国网购第四潮县”、省“电商换市”十大创新样本、“省级教玩具产业集群跨境电商试点县”“全国电商百佳县”“中国县域电子商务百强”。全省首个闲鱼产业带基地项目落户三江街道。</w:t>
      </w:r>
      <w:r>
        <w:rPr>
          <w:rFonts w:hint="eastAsia" w:ascii="仿宋" w:hAnsi="仿宋" w:eastAsia="仿宋" w:cs="仿宋_GB2312"/>
          <w:kern w:val="0"/>
          <w:sz w:val="32"/>
          <w:szCs w:val="32"/>
          <w:lang w:val="en-US" w:eastAsia="zh-CN"/>
        </w:rPr>
        <w:t>新业态新模式不断涌现，</w:t>
      </w:r>
      <w:r>
        <w:rPr>
          <w:rFonts w:hint="eastAsia" w:ascii="仿宋" w:hAnsi="仿宋" w:eastAsia="仿宋" w:cs="仿宋_GB2312"/>
          <w:kern w:val="0"/>
          <w:sz w:val="32"/>
          <w:szCs w:val="32"/>
        </w:rPr>
        <w:t>“永嘉智慧交通”项目入选省智慧交通示范推广项目</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楠溪江智慧旅游平台上线运营。</w:t>
      </w:r>
    </w:p>
    <w:p>
      <w:pPr>
        <w:keepNext w:val="0"/>
        <w:keepLines w:val="0"/>
        <w:pageBreakBefore w:val="0"/>
        <w:widowControl w:val="0"/>
        <w:kinsoku/>
        <w:wordWrap/>
        <w:overflowPunct/>
        <w:topLinePunct w:val="0"/>
        <w:autoSpaceDE/>
        <w:autoSpaceDN/>
        <w:bidi w:val="0"/>
        <w:adjustRightInd/>
        <w:snapToGrid/>
        <w:spacing w:before="190" w:beforeLines="50" w:after="190" w:afterLines="50"/>
        <w:ind w:firstLine="643"/>
        <w:textAlignment w:val="auto"/>
        <w:outlineLvl w:val="2"/>
        <w:rPr>
          <w:rFonts w:ascii="仿宋" w:hAnsi="仿宋" w:eastAsia="仿宋"/>
          <w:sz w:val="32"/>
          <w:szCs w:val="32"/>
        </w:rPr>
      </w:pPr>
      <w:bookmarkStart w:id="208" w:name="_Toc15073"/>
      <w:bookmarkStart w:id="209" w:name="_Toc3891"/>
      <w:bookmarkStart w:id="210" w:name="_Toc31962"/>
      <w:bookmarkStart w:id="211" w:name="_Toc17229"/>
      <w:bookmarkStart w:id="212" w:name="_Toc2406"/>
      <w:bookmarkStart w:id="213" w:name="_Toc24427"/>
      <w:bookmarkStart w:id="214" w:name="_Toc8788"/>
      <w:bookmarkStart w:id="215" w:name="_Toc17990"/>
      <w:bookmarkStart w:id="216" w:name="_Toc12811"/>
      <w:bookmarkStart w:id="217" w:name="_Toc24006"/>
      <w:bookmarkStart w:id="218" w:name="_Toc8266"/>
      <w:bookmarkStart w:id="219" w:name="_Toc29879"/>
      <w:bookmarkStart w:id="220" w:name="_Toc16674"/>
      <w:bookmarkStart w:id="221" w:name="_Toc10511"/>
      <w:bookmarkStart w:id="222" w:name="_Toc3202"/>
      <w:bookmarkStart w:id="223" w:name="_Toc19014"/>
      <w:bookmarkStart w:id="224" w:name="_Toc29884"/>
      <w:bookmarkStart w:id="225" w:name="_Toc29303"/>
      <w:bookmarkStart w:id="226" w:name="_Toc14439"/>
      <w:bookmarkStart w:id="227" w:name="_Toc4001"/>
      <w:bookmarkStart w:id="228" w:name="_Toc15632"/>
      <w:bookmarkStart w:id="229" w:name="_Toc18920"/>
      <w:bookmarkStart w:id="230" w:name="_Toc15889"/>
      <w:bookmarkStart w:id="231" w:name="_Toc30284"/>
      <w:bookmarkStart w:id="232" w:name="_Toc3507"/>
      <w:bookmarkStart w:id="233" w:name="_Toc26200"/>
      <w:bookmarkStart w:id="234" w:name="_Toc26989"/>
      <w:bookmarkStart w:id="235" w:name="_Toc521966783"/>
      <w:bookmarkStart w:id="236" w:name="_Toc24561"/>
      <w:bookmarkStart w:id="237" w:name="_Toc1610"/>
      <w:bookmarkStart w:id="238" w:name="_Toc26005"/>
      <w:bookmarkStart w:id="239" w:name="_Toc12619"/>
      <w:bookmarkStart w:id="240" w:name="_Toc1673"/>
      <w:bookmarkStart w:id="241" w:name="_Toc30789"/>
      <w:bookmarkStart w:id="242" w:name="_Toc1465"/>
      <w:r>
        <w:rPr>
          <w:rFonts w:hint="eastAsia" w:ascii="仿宋" w:hAnsi="仿宋" w:eastAsia="仿宋" w:cs="仿宋_GB2312"/>
          <w:b/>
          <w:bCs/>
          <w:kern w:val="0"/>
          <w:sz w:val="32"/>
          <w:szCs w:val="32"/>
        </w:rPr>
        <w:t>5.网络设施全面升级，数字治理加快推进</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w:t>
      </w:r>
      <w:r>
        <w:rPr>
          <w:rFonts w:hint="eastAsia" w:ascii="仿宋" w:hAnsi="仿宋" w:eastAsia="仿宋" w:cs="仿宋_GB2312"/>
          <w:kern w:val="0"/>
          <w:sz w:val="32"/>
          <w:szCs w:val="32"/>
          <w:lang w:val="en-US" w:eastAsia="zh-CN"/>
        </w:rPr>
        <w:t>基础网络设施逐步实现广覆盖、深覆盖，全县</w:t>
      </w:r>
      <w:r>
        <w:rPr>
          <w:rFonts w:hint="eastAsia" w:ascii="仿宋" w:hAnsi="仿宋" w:eastAsia="仿宋" w:cs="仿宋_GB2312"/>
          <w:kern w:val="0"/>
          <w:sz w:val="32"/>
          <w:szCs w:val="32"/>
        </w:rPr>
        <w:t>共有5G基站1100个，位于全市先列，县城上塘、瓯北街道、高铁沿线、高速沿线已经实现5G信号全覆盖。</w:t>
      </w:r>
      <w:r>
        <w:rPr>
          <w:rFonts w:hint="eastAsia" w:ascii="仿宋" w:hAnsi="仿宋" w:eastAsia="仿宋" w:cs="仿宋_GB2312"/>
          <w:kern w:val="0"/>
          <w:sz w:val="32"/>
          <w:szCs w:val="32"/>
          <w:lang w:val="en-US" w:eastAsia="zh-CN"/>
        </w:rPr>
        <w:t>5G等技术与实体经济融合应用不断深入，全</w:t>
      </w:r>
      <w:r>
        <w:rPr>
          <w:rFonts w:hint="eastAsia" w:ascii="仿宋" w:hAnsi="仿宋" w:eastAsia="仿宋" w:cs="仿宋_GB2312"/>
          <w:kern w:val="0"/>
          <w:sz w:val="32"/>
          <w:szCs w:val="32"/>
        </w:rPr>
        <w:t>县已有20</w:t>
      </w:r>
      <w:r>
        <w:rPr>
          <w:rFonts w:hint="eastAsia" w:ascii="仿宋" w:hAnsi="仿宋" w:eastAsia="仿宋" w:cs="仿宋_GB2312"/>
          <w:kern w:val="0"/>
          <w:sz w:val="32"/>
          <w:szCs w:val="32"/>
          <w:lang w:val="en-US" w:eastAsia="zh-CN"/>
        </w:rPr>
        <w:t>余</w:t>
      </w:r>
      <w:r>
        <w:rPr>
          <w:rFonts w:hint="eastAsia" w:ascii="仿宋" w:hAnsi="仿宋" w:eastAsia="仿宋" w:cs="仿宋_GB2312"/>
          <w:kern w:val="0"/>
          <w:sz w:val="32"/>
          <w:szCs w:val="32"/>
        </w:rPr>
        <w:t>家企业开展5G通信网络、数据中心、人工智能、工业互联网等新基建、新技术</w:t>
      </w:r>
      <w:r>
        <w:rPr>
          <w:rFonts w:hint="eastAsia" w:ascii="仿宋" w:hAnsi="仿宋" w:eastAsia="仿宋" w:cs="仿宋_GB2312"/>
          <w:kern w:val="0"/>
          <w:sz w:val="32"/>
          <w:szCs w:val="32"/>
          <w:lang w:val="en-US" w:eastAsia="zh-CN"/>
        </w:rPr>
        <w:t>应用</w:t>
      </w:r>
      <w:r>
        <w:rPr>
          <w:rFonts w:hint="eastAsia" w:ascii="仿宋" w:hAnsi="仿宋" w:eastAsia="仿宋" w:cs="仿宋_GB2312"/>
          <w:kern w:val="0"/>
          <w:sz w:val="32"/>
          <w:szCs w:val="32"/>
        </w:rPr>
        <w:t>。全县加快政府数字化转型，</w:t>
      </w:r>
      <w:r>
        <w:rPr>
          <w:rFonts w:hint="eastAsia" w:ascii="仿宋" w:hAnsi="仿宋" w:eastAsia="仿宋" w:cs="仿宋_GB2312"/>
          <w:kern w:val="0"/>
          <w:sz w:val="32"/>
          <w:szCs w:val="32"/>
          <w:lang w:eastAsia="zh-CN"/>
        </w:rPr>
        <w:t>85%以上依申请政务服务事项实现“一网通办”；</w:t>
      </w:r>
      <w:r>
        <w:rPr>
          <w:rFonts w:hint="eastAsia" w:ascii="仿宋" w:hAnsi="仿宋" w:eastAsia="仿宋" w:cs="仿宋_GB2312"/>
          <w:kern w:val="0"/>
          <w:sz w:val="32"/>
          <w:szCs w:val="32"/>
        </w:rPr>
        <w:t>依托一体化智能化公共数据平台建设，基本数据共享需求满足率达到98%。在全省率先创新打造</w:t>
      </w:r>
      <w:r>
        <w:rPr>
          <w:rFonts w:hint="eastAsia" w:ascii="仿宋" w:hAnsi="仿宋" w:eastAsia="仿宋" w:cs="仿宋_GB2312"/>
          <w:kern w:val="0"/>
          <w:sz w:val="32"/>
          <w:szCs w:val="32"/>
          <w:lang w:val="en-US" w:eastAsia="zh-CN"/>
        </w:rPr>
        <w:t>了</w:t>
      </w:r>
      <w:r>
        <w:rPr>
          <w:rFonts w:hint="eastAsia" w:ascii="仿宋" w:hAnsi="仿宋" w:eastAsia="仿宋" w:cs="仿宋_GB2312"/>
          <w:kern w:val="0"/>
          <w:sz w:val="32"/>
          <w:szCs w:val="32"/>
        </w:rPr>
        <w:t>农村“三资”智慧监管系统，实现农村“小微权力”的智慧监督。</w:t>
      </w:r>
    </w:p>
    <w:p>
      <w:pPr>
        <w:spacing w:before="190" w:beforeLines="50" w:after="190" w:afterLines="50"/>
        <w:ind w:firstLine="640"/>
        <w:outlineLvl w:val="1"/>
        <w:rPr>
          <w:rFonts w:ascii="楷体" w:hAnsi="楷体" w:eastAsia="楷体" w:cs="楷体"/>
          <w:sz w:val="32"/>
          <w:szCs w:val="32"/>
        </w:rPr>
      </w:pPr>
      <w:bookmarkStart w:id="243" w:name="_Toc14353170"/>
      <w:bookmarkStart w:id="244" w:name="_Toc29111"/>
      <w:bookmarkStart w:id="245" w:name="_Toc1215"/>
      <w:bookmarkStart w:id="246" w:name="_Toc13875"/>
      <w:bookmarkStart w:id="247" w:name="_Toc15286"/>
      <w:bookmarkStart w:id="248" w:name="_Toc5555"/>
      <w:bookmarkStart w:id="249" w:name="_Toc25358"/>
      <w:bookmarkStart w:id="250" w:name="_Toc16511"/>
      <w:bookmarkStart w:id="251" w:name="_Toc20864"/>
      <w:bookmarkStart w:id="252" w:name="_Toc12930"/>
      <w:bookmarkStart w:id="253" w:name="_Toc4792"/>
      <w:bookmarkStart w:id="254" w:name="_Toc23900"/>
      <w:bookmarkStart w:id="255" w:name="_Toc2009"/>
      <w:bookmarkStart w:id="256" w:name="_Toc14897"/>
      <w:bookmarkStart w:id="257" w:name="_Toc29783"/>
      <w:bookmarkStart w:id="258" w:name="_Toc27666"/>
      <w:bookmarkStart w:id="259" w:name="_Toc29889"/>
      <w:bookmarkStart w:id="260" w:name="_Toc15613"/>
      <w:bookmarkStart w:id="261" w:name="_Toc14440"/>
      <w:bookmarkStart w:id="262" w:name="_Toc26282"/>
      <w:bookmarkStart w:id="263" w:name="_Toc32357"/>
      <w:bookmarkStart w:id="264" w:name="_Toc24347"/>
      <w:bookmarkStart w:id="265" w:name="_Toc17489"/>
      <w:bookmarkStart w:id="266" w:name="_Toc16595"/>
      <w:bookmarkStart w:id="267" w:name="_Toc16728"/>
      <w:bookmarkStart w:id="268" w:name="_Toc18331"/>
      <w:bookmarkStart w:id="269" w:name="_Toc9617"/>
      <w:bookmarkStart w:id="270" w:name="_Toc27192"/>
      <w:bookmarkStart w:id="271" w:name="_Toc982"/>
      <w:bookmarkStart w:id="272" w:name="_Toc28462"/>
      <w:bookmarkStart w:id="273" w:name="_Toc6465"/>
      <w:bookmarkStart w:id="274" w:name="_Toc23823"/>
      <w:bookmarkStart w:id="275" w:name="_Toc7467"/>
      <w:bookmarkStart w:id="276" w:name="_Toc31783"/>
      <w:bookmarkStart w:id="277" w:name="_Toc3531"/>
      <w:bookmarkStart w:id="278" w:name="_Toc16063"/>
      <w:bookmarkStart w:id="279" w:name="_Toc24533"/>
      <w:r>
        <w:rPr>
          <w:rFonts w:hint="eastAsia" w:ascii="楷体" w:hAnsi="楷体" w:eastAsia="楷体" w:cs="楷体"/>
          <w:sz w:val="32"/>
          <w:szCs w:val="32"/>
        </w:rPr>
        <w:t>（二）</w:t>
      </w:r>
      <w:bookmarkEnd w:id="243"/>
      <w:bookmarkEnd w:id="244"/>
      <w:bookmarkEnd w:id="245"/>
      <w:r>
        <w:rPr>
          <w:rFonts w:hint="eastAsia" w:ascii="楷体" w:hAnsi="楷体" w:eastAsia="楷体" w:cs="楷体"/>
          <w:sz w:val="32"/>
          <w:szCs w:val="32"/>
        </w:rPr>
        <w:t>存在问题</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永嘉作为加快发展县，经济综合实力不强，各类资源要素紧缺，数字经济虽然具备了一些基础，但是相对于省内先进发达地区差距还很大，还存在以下一些主要问题</w:t>
      </w:r>
      <w:r>
        <w:rPr>
          <w:rFonts w:hint="eastAsia" w:ascii="仿宋" w:hAnsi="仿宋" w:eastAsia="仿宋" w:cs="仿宋_GB2312"/>
          <w:kern w:val="0"/>
          <w:sz w:val="32"/>
          <w:szCs w:val="32"/>
          <w:lang w:eastAsia="zh-CN"/>
        </w:rPr>
        <w:t>。</w:t>
      </w:r>
    </w:p>
    <w:p>
      <w:pPr>
        <w:spacing w:before="190" w:beforeLines="50" w:after="190" w:afterLines="50"/>
        <w:ind w:firstLine="643"/>
        <w:outlineLvl w:val="2"/>
        <w:rPr>
          <w:rFonts w:ascii="仿宋" w:hAnsi="仿宋" w:eastAsia="仿宋" w:cs="仿宋_GB2312"/>
          <w:b/>
          <w:bCs/>
          <w:kern w:val="0"/>
          <w:sz w:val="32"/>
          <w:szCs w:val="32"/>
        </w:rPr>
      </w:pPr>
      <w:bookmarkStart w:id="280" w:name="_Toc11974"/>
      <w:bookmarkStart w:id="281" w:name="_Toc10222"/>
      <w:bookmarkStart w:id="282" w:name="_Toc21577"/>
      <w:bookmarkStart w:id="283" w:name="_Toc14757"/>
      <w:bookmarkStart w:id="284" w:name="_Toc23684"/>
      <w:bookmarkStart w:id="285" w:name="_Toc14653"/>
      <w:bookmarkStart w:id="286" w:name="_Toc16908"/>
      <w:bookmarkStart w:id="287" w:name="_Toc660"/>
      <w:bookmarkStart w:id="288" w:name="_Toc21811"/>
      <w:bookmarkStart w:id="289" w:name="_Toc20996"/>
      <w:bookmarkStart w:id="290" w:name="_Toc266"/>
      <w:bookmarkStart w:id="291" w:name="_Toc18570"/>
      <w:bookmarkStart w:id="292" w:name="_Toc23493"/>
      <w:bookmarkStart w:id="293" w:name="_Toc13289"/>
      <w:bookmarkStart w:id="294" w:name="_Toc7935"/>
      <w:bookmarkStart w:id="295" w:name="_Toc28678"/>
      <w:bookmarkStart w:id="296" w:name="_Toc9250"/>
      <w:bookmarkStart w:id="297" w:name="_Toc26521"/>
      <w:bookmarkStart w:id="298" w:name="_Toc31870"/>
      <w:bookmarkStart w:id="299" w:name="_Toc18486"/>
      <w:bookmarkStart w:id="300" w:name="_Toc15849"/>
      <w:bookmarkStart w:id="301" w:name="_Toc10139"/>
      <w:bookmarkStart w:id="302" w:name="_Toc10131"/>
      <w:bookmarkStart w:id="303" w:name="_Toc17527"/>
      <w:bookmarkStart w:id="304" w:name="_Toc3843"/>
      <w:bookmarkStart w:id="305" w:name="_Toc17469"/>
      <w:bookmarkStart w:id="306" w:name="_Toc28696"/>
      <w:bookmarkStart w:id="307" w:name="_Toc12514"/>
      <w:bookmarkStart w:id="308" w:name="_Toc7768"/>
      <w:bookmarkStart w:id="309" w:name="_Toc15424"/>
      <w:bookmarkStart w:id="310" w:name="_Toc9998"/>
      <w:bookmarkStart w:id="311" w:name="_Toc16149"/>
      <w:bookmarkStart w:id="312" w:name="_Toc6682"/>
      <w:bookmarkStart w:id="313" w:name="_Toc17649"/>
      <w:r>
        <w:rPr>
          <w:rFonts w:hint="eastAsia" w:ascii="仿宋" w:hAnsi="仿宋" w:eastAsia="仿宋" w:cs="仿宋_GB2312"/>
          <w:b/>
          <w:bCs/>
          <w:kern w:val="0"/>
          <w:sz w:val="32"/>
          <w:szCs w:val="32"/>
        </w:rPr>
        <w:t>1.数字产业总量较低，产业基础较为薄弱</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我县数字经济核心</w:t>
      </w:r>
      <w:r>
        <w:rPr>
          <w:rFonts w:hint="eastAsia" w:ascii="仿宋" w:hAnsi="仿宋" w:eastAsia="仿宋" w:cs="仿宋_GB2312"/>
          <w:kern w:val="0"/>
          <w:sz w:val="32"/>
          <w:szCs w:val="32"/>
          <w:lang w:val="en-US" w:eastAsia="zh-CN"/>
        </w:rPr>
        <w:t>产业规模小、层次低、企业少，</w:t>
      </w:r>
      <w:r>
        <w:rPr>
          <w:rFonts w:hint="eastAsia" w:ascii="仿宋" w:hAnsi="仿宋" w:eastAsia="仿宋" w:cs="仿宋_GB2312"/>
          <w:kern w:val="0"/>
          <w:sz w:val="32"/>
          <w:szCs w:val="32"/>
        </w:rPr>
        <w:t>产业基础较为薄弱</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企业“低、小、弱”问题明显，亿元以上企业</w:t>
      </w:r>
      <w:r>
        <w:rPr>
          <w:rFonts w:hint="eastAsia" w:ascii="仿宋" w:hAnsi="仿宋" w:eastAsia="仿宋" w:cs="仿宋_GB2312"/>
          <w:kern w:val="0"/>
          <w:sz w:val="32"/>
          <w:szCs w:val="32"/>
          <w:lang w:val="en-US" w:eastAsia="zh-CN"/>
        </w:rPr>
        <w:t>仅</w:t>
      </w:r>
      <w:r>
        <w:rPr>
          <w:rFonts w:hint="eastAsia" w:ascii="仿宋" w:hAnsi="仿宋" w:eastAsia="仿宋" w:cs="仿宋_GB2312"/>
          <w:kern w:val="0"/>
          <w:sz w:val="32"/>
          <w:szCs w:val="32"/>
        </w:rPr>
        <w:t>10家</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缺乏</w:t>
      </w:r>
      <w:r>
        <w:rPr>
          <w:rFonts w:hint="eastAsia" w:ascii="仿宋" w:hAnsi="仿宋" w:eastAsia="仿宋" w:cs="仿宋_GB2312"/>
          <w:kern w:val="0"/>
          <w:sz w:val="32"/>
          <w:szCs w:val="32"/>
        </w:rPr>
        <w:t>科技含量高、</w:t>
      </w:r>
      <w:r>
        <w:rPr>
          <w:rFonts w:hint="eastAsia" w:ascii="仿宋" w:hAnsi="仿宋" w:eastAsia="仿宋" w:cs="仿宋_GB2312"/>
          <w:kern w:val="0"/>
          <w:sz w:val="32"/>
          <w:szCs w:val="32"/>
          <w:lang w:val="en-US" w:eastAsia="zh-CN"/>
        </w:rPr>
        <w:t>竞争力强的</w:t>
      </w:r>
      <w:r>
        <w:rPr>
          <w:rFonts w:hint="eastAsia" w:ascii="仿宋" w:hAnsi="仿宋" w:eastAsia="仿宋" w:cs="仿宋_GB2312"/>
          <w:kern w:val="0"/>
          <w:sz w:val="32"/>
          <w:szCs w:val="32"/>
        </w:rPr>
        <w:t>平台型、雁首型大企业</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产业层次较低，集中在电线电缆、电子元器件等传统制造领域，</w:t>
      </w:r>
      <w:r>
        <w:rPr>
          <w:rFonts w:hint="eastAsia" w:ascii="仿宋" w:hAnsi="仿宋" w:eastAsia="仿宋" w:cs="仿宋_GB2312"/>
          <w:kern w:val="0"/>
          <w:sz w:val="32"/>
          <w:szCs w:val="32"/>
          <w:lang w:val="en-US" w:eastAsia="zh-CN"/>
        </w:rPr>
        <w:t>缺乏</w:t>
      </w:r>
      <w:r>
        <w:rPr>
          <w:rFonts w:hint="eastAsia" w:ascii="仿宋" w:hAnsi="仿宋" w:eastAsia="仿宋" w:cs="仿宋_GB2312"/>
          <w:kern w:val="0"/>
          <w:sz w:val="32"/>
          <w:szCs w:val="32"/>
        </w:rPr>
        <w:t>集成电路、网络通信、云计算、大数据、人工智能、5G等高端</w:t>
      </w:r>
      <w:r>
        <w:rPr>
          <w:rFonts w:hint="eastAsia" w:ascii="仿宋" w:hAnsi="仿宋" w:eastAsia="仿宋" w:cs="仿宋_GB2312"/>
          <w:kern w:val="0"/>
          <w:sz w:val="32"/>
          <w:szCs w:val="32"/>
          <w:lang w:val="en-US" w:eastAsia="zh-CN"/>
        </w:rPr>
        <w:t>核心产业</w:t>
      </w:r>
      <w:r>
        <w:rPr>
          <w:rFonts w:hint="eastAsia" w:ascii="仿宋" w:hAnsi="仿宋" w:eastAsia="仿宋" w:cs="仿宋_GB2312"/>
          <w:kern w:val="0"/>
          <w:sz w:val="32"/>
          <w:szCs w:val="32"/>
        </w:rPr>
        <w:t>。数字经济核心产业增加值占全县GDP比重只有5%左右，占全温州市数字经济核心产业增加值比重仅为4.8%。</w:t>
      </w:r>
    </w:p>
    <w:p>
      <w:pPr>
        <w:spacing w:before="190" w:beforeLines="50" w:after="190" w:afterLines="50"/>
        <w:ind w:firstLine="643"/>
        <w:outlineLvl w:val="2"/>
        <w:rPr>
          <w:rFonts w:ascii="仿宋" w:hAnsi="仿宋" w:eastAsia="仿宋" w:cs="仿宋_GB2312"/>
          <w:b/>
          <w:bCs/>
          <w:kern w:val="0"/>
          <w:sz w:val="32"/>
          <w:szCs w:val="32"/>
        </w:rPr>
      </w:pPr>
      <w:bookmarkStart w:id="314" w:name="_Toc6291"/>
      <w:bookmarkStart w:id="315" w:name="_Toc20913"/>
      <w:bookmarkStart w:id="316" w:name="_Toc32426"/>
      <w:bookmarkStart w:id="317" w:name="_Toc14707"/>
      <w:bookmarkStart w:id="318" w:name="_Toc203"/>
      <w:bookmarkStart w:id="319" w:name="_Toc3554"/>
      <w:bookmarkStart w:id="320" w:name="_Toc16098"/>
      <w:bookmarkStart w:id="321" w:name="_Toc24514"/>
      <w:bookmarkStart w:id="322" w:name="_Toc30170"/>
      <w:bookmarkStart w:id="323" w:name="_Toc24170"/>
      <w:bookmarkStart w:id="324" w:name="_Toc24631"/>
      <w:bookmarkStart w:id="325" w:name="_Toc9316"/>
      <w:bookmarkStart w:id="326" w:name="_Toc22408"/>
      <w:bookmarkStart w:id="327" w:name="_Toc24044"/>
      <w:bookmarkStart w:id="328" w:name="_Toc16604"/>
      <w:bookmarkStart w:id="329" w:name="_Toc17660"/>
      <w:bookmarkStart w:id="330" w:name="_Toc5819"/>
      <w:bookmarkStart w:id="331" w:name="_Toc24940"/>
      <w:bookmarkStart w:id="332" w:name="_Toc6034"/>
      <w:bookmarkStart w:id="333" w:name="_Toc10746"/>
      <w:bookmarkStart w:id="334" w:name="_Toc22482"/>
      <w:bookmarkStart w:id="335" w:name="_Toc11616"/>
      <w:bookmarkStart w:id="336" w:name="_Toc13097"/>
      <w:bookmarkStart w:id="337" w:name="_Toc25219"/>
      <w:bookmarkStart w:id="338" w:name="_Toc29336"/>
      <w:bookmarkStart w:id="339" w:name="_Toc4576"/>
      <w:bookmarkStart w:id="340" w:name="_Toc15"/>
      <w:bookmarkStart w:id="341" w:name="_Toc16672"/>
      <w:bookmarkStart w:id="342" w:name="_Toc23611"/>
      <w:bookmarkStart w:id="343" w:name="_Toc10616"/>
      <w:bookmarkStart w:id="344" w:name="_Toc31599"/>
      <w:bookmarkStart w:id="345" w:name="_Toc19961"/>
      <w:bookmarkStart w:id="346" w:name="_Toc24835"/>
      <w:bookmarkStart w:id="347" w:name="_Toc15999"/>
      <w:r>
        <w:rPr>
          <w:rFonts w:hint="eastAsia" w:ascii="仿宋" w:hAnsi="仿宋" w:eastAsia="仿宋" w:cs="仿宋_GB2312"/>
          <w:b/>
          <w:bCs/>
          <w:kern w:val="0"/>
          <w:sz w:val="32"/>
          <w:szCs w:val="32"/>
        </w:rPr>
        <w:t>2.产业数字转型偏慢，服务能力有待提升</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我县龙头骨干企业</w:t>
      </w:r>
      <w:r>
        <w:rPr>
          <w:rFonts w:hint="eastAsia" w:ascii="仿宋" w:hAnsi="仿宋" w:eastAsia="仿宋" w:cs="仿宋_GB2312"/>
          <w:kern w:val="0"/>
          <w:sz w:val="32"/>
          <w:szCs w:val="32"/>
          <w:lang w:val="en-US" w:eastAsia="zh-CN"/>
        </w:rPr>
        <w:t>产业数字化水平较高，但仍然缺乏高水平、</w:t>
      </w:r>
      <w:r>
        <w:rPr>
          <w:rFonts w:hint="eastAsia" w:ascii="仿宋" w:hAnsi="仿宋" w:eastAsia="仿宋" w:cs="仿宋_GB2312"/>
          <w:kern w:val="0"/>
          <w:sz w:val="32"/>
          <w:szCs w:val="32"/>
        </w:rPr>
        <w:t>标杆性的未来工厂和智能工厂</w:t>
      </w:r>
      <w:r>
        <w:rPr>
          <w:rFonts w:hint="eastAsia" w:ascii="仿宋" w:hAnsi="仿宋" w:eastAsia="仿宋" w:cs="仿宋_GB2312"/>
          <w:kern w:val="0"/>
          <w:sz w:val="32"/>
          <w:szCs w:val="32"/>
          <w:lang w:val="en-US" w:eastAsia="zh-CN"/>
        </w:rPr>
        <w:t>，示范引领性弱。同时，我县</w:t>
      </w:r>
      <w:r>
        <w:rPr>
          <w:rFonts w:hint="eastAsia" w:ascii="仿宋" w:hAnsi="仿宋" w:eastAsia="仿宋" w:cs="仿宋_GB2312"/>
          <w:kern w:val="0"/>
          <w:sz w:val="32"/>
          <w:szCs w:val="32"/>
        </w:rPr>
        <w:t>传统产业中小型民营企业量大面广，大部分</w:t>
      </w:r>
      <w:r>
        <w:rPr>
          <w:rFonts w:hint="eastAsia" w:ascii="仿宋" w:hAnsi="仿宋" w:eastAsia="仿宋" w:cs="仿宋_GB2312"/>
          <w:kern w:val="0"/>
          <w:sz w:val="32"/>
          <w:szCs w:val="32"/>
          <w:lang w:val="en-US" w:eastAsia="zh-CN"/>
        </w:rPr>
        <w:t>企业处于</w:t>
      </w:r>
      <w:r>
        <w:rPr>
          <w:rFonts w:hint="eastAsia" w:ascii="仿宋" w:hAnsi="仿宋" w:eastAsia="仿宋" w:cs="仿宋_GB2312"/>
          <w:kern w:val="0"/>
          <w:sz w:val="32"/>
          <w:szCs w:val="32"/>
        </w:rPr>
        <w:t>“机器换人”</w:t>
      </w:r>
      <w:r>
        <w:rPr>
          <w:rFonts w:hint="eastAsia" w:ascii="仿宋" w:hAnsi="仿宋" w:eastAsia="仿宋" w:cs="仿宋_GB2312"/>
          <w:kern w:val="0"/>
          <w:sz w:val="32"/>
          <w:szCs w:val="32"/>
          <w:lang w:val="en-US" w:eastAsia="zh-CN"/>
        </w:rPr>
        <w:t>初级阶段</w:t>
      </w:r>
      <w:r>
        <w:rPr>
          <w:rFonts w:hint="eastAsia" w:ascii="仿宋" w:hAnsi="仿宋" w:eastAsia="仿宋" w:cs="仿宋_GB2312"/>
          <w:kern w:val="0"/>
          <w:sz w:val="32"/>
          <w:szCs w:val="32"/>
        </w:rPr>
        <w:t>，</w:t>
      </w:r>
      <w:r>
        <w:rPr>
          <w:rFonts w:hint="eastAsia" w:ascii="仿宋" w:hAnsi="仿宋" w:eastAsia="仿宋" w:cs="仿宋_GB2312"/>
          <w:kern w:val="0"/>
          <w:sz w:val="32"/>
          <w:szCs w:val="32"/>
          <w:lang w:val="en-US" w:eastAsia="zh-CN"/>
        </w:rPr>
        <w:t>存在“不敢数字化、不愿数字化、不会数字化”等现象，总体</w:t>
      </w:r>
      <w:r>
        <w:rPr>
          <w:rFonts w:hint="eastAsia" w:ascii="仿宋" w:hAnsi="仿宋" w:eastAsia="仿宋" w:cs="仿宋_GB2312"/>
          <w:kern w:val="0"/>
          <w:sz w:val="32"/>
          <w:szCs w:val="32"/>
        </w:rPr>
        <w:t>智能化</w:t>
      </w:r>
      <w:r>
        <w:rPr>
          <w:rFonts w:hint="eastAsia" w:ascii="仿宋" w:hAnsi="仿宋" w:eastAsia="仿宋" w:cs="仿宋_GB2312"/>
          <w:kern w:val="0"/>
          <w:sz w:val="32"/>
          <w:szCs w:val="32"/>
          <w:lang w:val="en-US" w:eastAsia="zh-CN"/>
        </w:rPr>
        <w:t>程度</w:t>
      </w:r>
      <w:r>
        <w:rPr>
          <w:rFonts w:hint="eastAsia" w:ascii="仿宋" w:hAnsi="仿宋" w:eastAsia="仿宋" w:cs="仿宋_GB2312"/>
          <w:kern w:val="0"/>
          <w:sz w:val="32"/>
          <w:szCs w:val="32"/>
        </w:rPr>
        <w:t>不高，工业互联网应用水平有待加强</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全县的劳动生产率仅为全省平均水平的</w:t>
      </w:r>
      <w:r>
        <w:rPr>
          <w:rFonts w:hint="eastAsia" w:ascii="仿宋" w:hAnsi="仿宋" w:eastAsia="仿宋" w:cs="仿宋_GB2312"/>
          <w:kern w:val="0"/>
          <w:sz w:val="32"/>
          <w:szCs w:val="32"/>
          <w:lang w:val="en-US" w:eastAsia="zh-CN"/>
        </w:rPr>
        <w:t>2/3</w:t>
      </w:r>
      <w:r>
        <w:rPr>
          <w:rFonts w:hint="eastAsia" w:ascii="仿宋" w:hAnsi="仿宋" w:eastAsia="仿宋" w:cs="仿宋_GB2312"/>
          <w:kern w:val="0"/>
          <w:sz w:val="32"/>
          <w:szCs w:val="32"/>
        </w:rPr>
        <w:t>。此外，永嘉缺乏</w:t>
      </w:r>
      <w:r>
        <w:rPr>
          <w:rFonts w:hint="eastAsia" w:ascii="仿宋" w:hAnsi="仿宋" w:eastAsia="仿宋" w:cs="仿宋_GB2312"/>
          <w:kern w:val="0"/>
          <w:sz w:val="32"/>
          <w:szCs w:val="32"/>
          <w:lang w:val="en-US" w:eastAsia="zh-CN"/>
        </w:rPr>
        <w:t>支持</w:t>
      </w:r>
      <w:r>
        <w:rPr>
          <w:rFonts w:hint="eastAsia" w:ascii="仿宋" w:hAnsi="仿宋" w:eastAsia="仿宋" w:cs="仿宋_GB2312"/>
          <w:kern w:val="0"/>
          <w:sz w:val="32"/>
          <w:szCs w:val="32"/>
        </w:rPr>
        <w:t>智能制造和数字化改造的工程服务机构。</w:t>
      </w:r>
    </w:p>
    <w:p>
      <w:pPr>
        <w:spacing w:before="190" w:beforeLines="50" w:after="190" w:afterLines="50"/>
        <w:ind w:firstLine="643"/>
        <w:outlineLvl w:val="2"/>
        <w:rPr>
          <w:rFonts w:ascii="仿宋" w:hAnsi="仿宋" w:eastAsia="仿宋" w:cs="仿宋_GB2312"/>
          <w:b/>
          <w:bCs/>
          <w:kern w:val="0"/>
          <w:sz w:val="32"/>
          <w:szCs w:val="32"/>
        </w:rPr>
      </w:pPr>
      <w:bookmarkStart w:id="348" w:name="_Toc30165"/>
      <w:bookmarkStart w:id="349" w:name="_Toc5872"/>
      <w:bookmarkStart w:id="350" w:name="_Toc15845"/>
      <w:bookmarkStart w:id="351" w:name="_Toc5864"/>
      <w:bookmarkStart w:id="352" w:name="_Toc5188"/>
      <w:bookmarkStart w:id="353" w:name="_Toc5647"/>
      <w:bookmarkStart w:id="354" w:name="_Toc28518"/>
      <w:bookmarkStart w:id="355" w:name="_Toc32505"/>
      <w:bookmarkStart w:id="356" w:name="_Toc16300"/>
      <w:bookmarkStart w:id="357" w:name="_Toc9568"/>
      <w:bookmarkStart w:id="358" w:name="_Toc18855"/>
      <w:bookmarkStart w:id="359" w:name="_Toc4978"/>
      <w:bookmarkStart w:id="360" w:name="_Toc25039"/>
      <w:bookmarkStart w:id="361" w:name="_Toc14985"/>
      <w:bookmarkStart w:id="362" w:name="_Toc12977"/>
      <w:bookmarkStart w:id="363" w:name="_Toc5171"/>
      <w:bookmarkStart w:id="364" w:name="_Toc22555"/>
      <w:bookmarkStart w:id="365" w:name="_Toc263"/>
      <w:bookmarkStart w:id="366" w:name="_Toc31214"/>
      <w:bookmarkStart w:id="367" w:name="_Toc10105"/>
      <w:bookmarkStart w:id="368" w:name="_Toc6747"/>
      <w:bookmarkStart w:id="369" w:name="_Toc2511"/>
      <w:bookmarkStart w:id="370" w:name="_Toc8003"/>
      <w:bookmarkStart w:id="371" w:name="_Toc8269"/>
      <w:bookmarkStart w:id="372" w:name="_Toc537"/>
      <w:bookmarkStart w:id="373" w:name="_Toc22247"/>
      <w:bookmarkStart w:id="374" w:name="_Toc31961"/>
      <w:bookmarkStart w:id="375" w:name="_Toc8089"/>
      <w:bookmarkStart w:id="376" w:name="_Toc4359"/>
      <w:bookmarkStart w:id="377" w:name="_Toc24609"/>
      <w:bookmarkStart w:id="378" w:name="_Toc10576"/>
      <w:bookmarkStart w:id="379" w:name="_Toc9672"/>
      <w:bookmarkStart w:id="380" w:name="_Toc22488"/>
      <w:bookmarkStart w:id="381" w:name="_Toc10768"/>
      <w:r>
        <w:rPr>
          <w:rFonts w:hint="eastAsia" w:ascii="仿宋" w:hAnsi="仿宋" w:eastAsia="仿宋" w:cs="仿宋_GB2312"/>
          <w:b/>
          <w:bCs/>
          <w:kern w:val="0"/>
          <w:sz w:val="32"/>
          <w:szCs w:val="32"/>
        </w:rPr>
        <w:t>3.产业平台载体缺少，</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hint="eastAsia" w:ascii="仿宋" w:hAnsi="仿宋" w:eastAsia="仿宋" w:cs="仿宋_GB2312"/>
          <w:b/>
          <w:bCs/>
          <w:kern w:val="0"/>
          <w:sz w:val="32"/>
          <w:szCs w:val="32"/>
        </w:rPr>
        <w:t>优质公共服务不足</w:t>
      </w:r>
      <w:bookmarkEnd w:id="372"/>
      <w:bookmarkEnd w:id="373"/>
      <w:bookmarkEnd w:id="374"/>
      <w:bookmarkEnd w:id="375"/>
      <w:bookmarkEnd w:id="376"/>
      <w:bookmarkEnd w:id="377"/>
      <w:bookmarkEnd w:id="378"/>
      <w:bookmarkEnd w:id="379"/>
      <w:bookmarkEnd w:id="380"/>
      <w:bookmarkEnd w:id="381"/>
    </w:p>
    <w:p>
      <w:pPr>
        <w:ind w:firstLine="64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我县</w:t>
      </w:r>
      <w:r>
        <w:rPr>
          <w:rFonts w:hint="eastAsia" w:ascii="仿宋" w:hAnsi="仿宋" w:eastAsia="仿宋" w:cs="仿宋_GB2312"/>
          <w:kern w:val="0"/>
          <w:sz w:val="32"/>
          <w:szCs w:val="32"/>
        </w:rPr>
        <w:t>产业平台多以传统制造业为主，全县缺少</w:t>
      </w:r>
      <w:r>
        <w:rPr>
          <w:rFonts w:ascii="仿宋" w:hAnsi="仿宋" w:eastAsia="仿宋" w:cs="仿宋_GB2312"/>
          <w:kern w:val="0"/>
          <w:sz w:val="32"/>
          <w:szCs w:val="32"/>
        </w:rPr>
        <w:t>特色明显、空间集聚、相关配套服务完善的</w:t>
      </w:r>
      <w:r>
        <w:rPr>
          <w:rFonts w:hint="eastAsia" w:ascii="仿宋" w:hAnsi="仿宋" w:eastAsia="仿宋" w:cs="仿宋_GB2312"/>
          <w:kern w:val="0"/>
          <w:sz w:val="32"/>
          <w:szCs w:val="32"/>
        </w:rPr>
        <w:t>数字</w:t>
      </w:r>
      <w:r>
        <w:rPr>
          <w:rFonts w:ascii="仿宋" w:hAnsi="仿宋" w:eastAsia="仿宋" w:cs="仿宋_GB2312"/>
          <w:kern w:val="0"/>
          <w:sz w:val="32"/>
          <w:szCs w:val="32"/>
        </w:rPr>
        <w:t>经济集中发展区，</w:t>
      </w:r>
      <w:r>
        <w:rPr>
          <w:rFonts w:hint="eastAsia" w:ascii="仿宋" w:hAnsi="仿宋" w:eastAsia="仿宋" w:cs="仿宋_GB2312"/>
          <w:kern w:val="0"/>
          <w:sz w:val="32"/>
          <w:szCs w:val="32"/>
        </w:rPr>
        <w:t>全</w:t>
      </w:r>
      <w:r>
        <w:rPr>
          <w:rFonts w:ascii="仿宋" w:hAnsi="仿宋" w:eastAsia="仿宋" w:cs="仿宋_GB2312"/>
          <w:kern w:val="0"/>
          <w:sz w:val="32"/>
          <w:szCs w:val="32"/>
        </w:rPr>
        <w:t>县</w:t>
      </w:r>
      <w:r>
        <w:rPr>
          <w:rFonts w:hint="eastAsia" w:ascii="仿宋" w:hAnsi="仿宋" w:eastAsia="仿宋" w:cs="仿宋_GB2312"/>
          <w:kern w:val="0"/>
          <w:sz w:val="32"/>
          <w:szCs w:val="32"/>
        </w:rPr>
        <w:t>数字经济发展的创新机构和支撑数字经济发展的第三方公共服务平台缺乏，创新创业氛围有待提升，数字经济经济发展支撑服务能力有待加强。</w:t>
      </w:r>
    </w:p>
    <w:p>
      <w:pPr>
        <w:spacing w:before="190" w:beforeLines="50" w:after="190" w:afterLines="50"/>
        <w:ind w:firstLine="643"/>
        <w:outlineLvl w:val="2"/>
        <w:rPr>
          <w:rFonts w:ascii="仿宋" w:hAnsi="仿宋" w:eastAsia="仿宋" w:cs="仿宋_GB2312"/>
          <w:b/>
          <w:bCs/>
          <w:kern w:val="0"/>
          <w:sz w:val="32"/>
          <w:szCs w:val="32"/>
        </w:rPr>
      </w:pPr>
      <w:bookmarkStart w:id="382" w:name="_Toc22419"/>
      <w:bookmarkStart w:id="383" w:name="_Toc4663"/>
      <w:bookmarkStart w:id="384" w:name="_Toc16995"/>
      <w:bookmarkStart w:id="385" w:name="_Toc32760"/>
      <w:bookmarkStart w:id="386" w:name="_Toc3332"/>
      <w:bookmarkStart w:id="387" w:name="_Toc20665"/>
      <w:bookmarkStart w:id="388" w:name="_Toc15470"/>
      <w:bookmarkStart w:id="389" w:name="_Toc27142"/>
      <w:bookmarkStart w:id="390" w:name="_Toc28465"/>
      <w:bookmarkStart w:id="391" w:name="_Toc8292"/>
      <w:bookmarkStart w:id="392" w:name="_Toc22279"/>
      <w:bookmarkStart w:id="393" w:name="_Toc28778"/>
      <w:bookmarkStart w:id="394" w:name="_Toc10046"/>
      <w:bookmarkStart w:id="395" w:name="_Toc15011"/>
      <w:bookmarkStart w:id="396" w:name="_Toc2851"/>
      <w:bookmarkStart w:id="397" w:name="_Toc8746"/>
      <w:bookmarkStart w:id="398" w:name="_Toc28698"/>
      <w:bookmarkStart w:id="399" w:name="_Toc75"/>
      <w:bookmarkStart w:id="400" w:name="_Toc21800"/>
      <w:bookmarkStart w:id="401" w:name="_Toc16806"/>
      <w:bookmarkStart w:id="402" w:name="_Toc14672"/>
      <w:bookmarkStart w:id="403" w:name="_Toc16964"/>
      <w:bookmarkStart w:id="404" w:name="_Toc23640"/>
      <w:bookmarkStart w:id="405" w:name="_Toc6773"/>
      <w:bookmarkStart w:id="406" w:name="_Toc20042"/>
      <w:bookmarkStart w:id="407" w:name="_Toc10904"/>
      <w:bookmarkStart w:id="408" w:name="_Toc8706"/>
      <w:bookmarkStart w:id="409" w:name="_Toc24943"/>
      <w:bookmarkStart w:id="410" w:name="_Toc19693"/>
      <w:bookmarkStart w:id="411" w:name="_Toc3036"/>
      <w:bookmarkStart w:id="412" w:name="_Toc23870"/>
      <w:bookmarkStart w:id="413" w:name="_Toc5478"/>
      <w:bookmarkStart w:id="414" w:name="_Toc6032"/>
      <w:bookmarkStart w:id="415" w:name="_Toc15603"/>
      <w:r>
        <w:rPr>
          <w:rFonts w:hint="eastAsia" w:ascii="仿宋" w:hAnsi="仿宋" w:eastAsia="仿宋" w:cs="仿宋_GB2312"/>
          <w:b/>
          <w:bCs/>
          <w:kern w:val="0"/>
          <w:sz w:val="32"/>
          <w:szCs w:val="32"/>
        </w:rPr>
        <w:t>4.高端人才招引不足，科技创新有待加强</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ind w:firstLine="640"/>
        <w:rPr>
          <w:rFonts w:ascii="仿宋" w:hAnsi="仿宋" w:eastAsia="仿宋" w:cs="仿宋_GB2312"/>
          <w:i/>
          <w:kern w:val="0"/>
          <w:sz w:val="32"/>
          <w:szCs w:val="32"/>
        </w:rPr>
      </w:pPr>
      <w:r>
        <w:rPr>
          <w:rFonts w:hint="eastAsia" w:ascii="仿宋" w:hAnsi="仿宋" w:eastAsia="仿宋" w:cs="仿宋_GB2312"/>
          <w:kern w:val="0"/>
          <w:sz w:val="32"/>
          <w:szCs w:val="32"/>
        </w:rPr>
        <w:t>科技创新是数字经济企业占据行业领军地位的核心动力，</w:t>
      </w:r>
      <w:r>
        <w:rPr>
          <w:rFonts w:ascii="仿宋" w:hAnsi="仿宋" w:eastAsia="仿宋" w:cs="仿宋_GB2312"/>
          <w:kern w:val="0"/>
          <w:sz w:val="32"/>
          <w:szCs w:val="32"/>
        </w:rPr>
        <w:t>我</w:t>
      </w:r>
      <w:r>
        <w:rPr>
          <w:rFonts w:hint="eastAsia" w:ascii="仿宋" w:hAnsi="仿宋" w:eastAsia="仿宋" w:cs="仿宋_GB2312"/>
          <w:kern w:val="0"/>
          <w:sz w:val="32"/>
          <w:szCs w:val="32"/>
        </w:rPr>
        <w:t>县属于三四线小城市</w:t>
      </w:r>
      <w:r>
        <w:rPr>
          <w:rFonts w:ascii="仿宋" w:hAnsi="仿宋" w:eastAsia="仿宋" w:cs="仿宋_GB2312"/>
          <w:kern w:val="0"/>
          <w:sz w:val="32"/>
          <w:szCs w:val="32"/>
        </w:rPr>
        <w:t>，城市基础设施</w:t>
      </w:r>
      <w:r>
        <w:rPr>
          <w:rFonts w:hint="eastAsia" w:ascii="仿宋" w:hAnsi="仿宋" w:eastAsia="仿宋" w:cs="仿宋_GB2312"/>
          <w:kern w:val="0"/>
          <w:sz w:val="32"/>
          <w:szCs w:val="32"/>
        </w:rPr>
        <w:t>、</w:t>
      </w:r>
      <w:r>
        <w:rPr>
          <w:rFonts w:ascii="仿宋" w:hAnsi="仿宋" w:eastAsia="仿宋" w:cs="仿宋_GB2312"/>
          <w:kern w:val="0"/>
          <w:sz w:val="32"/>
          <w:szCs w:val="32"/>
        </w:rPr>
        <w:t>配套服务和资薪水平</w:t>
      </w:r>
      <w:r>
        <w:rPr>
          <w:rFonts w:hint="eastAsia" w:ascii="仿宋" w:hAnsi="仿宋" w:eastAsia="仿宋" w:cs="仿宋_GB2312"/>
          <w:kern w:val="0"/>
          <w:sz w:val="32"/>
          <w:szCs w:val="32"/>
          <w:lang w:val="en-US" w:eastAsia="zh-CN"/>
        </w:rPr>
        <w:t>等因素与</w:t>
      </w:r>
      <w:r>
        <w:rPr>
          <w:rFonts w:hint="eastAsia" w:ascii="仿宋" w:hAnsi="仿宋" w:eastAsia="仿宋" w:cs="仿宋_GB2312"/>
          <w:kern w:val="0"/>
          <w:sz w:val="32"/>
          <w:szCs w:val="32"/>
        </w:rPr>
        <w:t>发达城市</w:t>
      </w:r>
      <w:r>
        <w:rPr>
          <w:rFonts w:hint="eastAsia" w:ascii="仿宋" w:hAnsi="仿宋" w:eastAsia="仿宋" w:cs="仿宋_GB2312"/>
          <w:kern w:val="0"/>
          <w:sz w:val="32"/>
          <w:szCs w:val="32"/>
          <w:lang w:val="en-US" w:eastAsia="zh-CN"/>
        </w:rPr>
        <w:t>相比缺乏</w:t>
      </w:r>
      <w:r>
        <w:rPr>
          <w:rFonts w:hint="eastAsia" w:ascii="仿宋" w:hAnsi="仿宋" w:eastAsia="仿宋" w:cs="仿宋_GB2312"/>
          <w:kern w:val="0"/>
          <w:sz w:val="32"/>
          <w:szCs w:val="32"/>
        </w:rPr>
        <w:t>竞争</w:t>
      </w:r>
      <w:r>
        <w:rPr>
          <w:rFonts w:hint="eastAsia" w:ascii="仿宋" w:hAnsi="仿宋" w:eastAsia="仿宋" w:cs="仿宋_GB2312"/>
          <w:kern w:val="0"/>
          <w:sz w:val="32"/>
          <w:szCs w:val="32"/>
          <w:lang w:val="en-US" w:eastAsia="zh-CN"/>
        </w:rPr>
        <w:t>性</w:t>
      </w:r>
      <w:r>
        <w:rPr>
          <w:rFonts w:hint="eastAsia" w:ascii="仿宋" w:hAnsi="仿宋" w:eastAsia="仿宋" w:cs="仿宋_GB2312"/>
          <w:kern w:val="0"/>
          <w:sz w:val="32"/>
          <w:szCs w:val="32"/>
        </w:rPr>
        <w:t>，优秀人才向头部城市集聚的态势日趋明显，我县面临更加激烈的区域竞争和人才竞争，高端技术人才严重缺乏，成为制约数字经济发展的一大障碍。</w:t>
      </w:r>
    </w:p>
    <w:p>
      <w:pPr>
        <w:spacing w:before="190" w:beforeLines="50" w:after="190" w:afterLines="50"/>
        <w:ind w:firstLine="640"/>
        <w:outlineLvl w:val="0"/>
        <w:rPr>
          <w:rFonts w:ascii="黑体" w:hAnsi="黑体" w:eastAsia="黑体" w:cs="黑体"/>
          <w:kern w:val="44"/>
          <w:sz w:val="32"/>
          <w:szCs w:val="32"/>
        </w:rPr>
      </w:pPr>
      <w:bookmarkStart w:id="416" w:name="_Toc14353171"/>
      <w:bookmarkStart w:id="417" w:name="_Toc6612"/>
      <w:bookmarkStart w:id="418" w:name="_Toc9529"/>
      <w:bookmarkStart w:id="419" w:name="_Toc521966769"/>
      <w:bookmarkStart w:id="420" w:name="_Toc7170"/>
      <w:bookmarkStart w:id="421" w:name="_Toc29883"/>
      <w:bookmarkStart w:id="422" w:name="_Toc9847"/>
      <w:bookmarkStart w:id="423" w:name="_Toc15180"/>
      <w:bookmarkStart w:id="424" w:name="_Toc5390"/>
      <w:bookmarkStart w:id="425" w:name="_Toc9193"/>
      <w:bookmarkStart w:id="426" w:name="_Toc9493"/>
      <w:bookmarkStart w:id="427" w:name="_Toc10453"/>
      <w:bookmarkStart w:id="428" w:name="_Toc13224"/>
      <w:bookmarkStart w:id="429" w:name="_Toc26477"/>
      <w:bookmarkStart w:id="430" w:name="_Toc6726"/>
      <w:bookmarkStart w:id="431" w:name="_Toc4511"/>
      <w:bookmarkStart w:id="432" w:name="_Toc11152"/>
      <w:bookmarkStart w:id="433" w:name="_Toc16940"/>
      <w:bookmarkStart w:id="434" w:name="_Toc32139"/>
      <w:bookmarkStart w:id="435" w:name="_Toc21086"/>
      <w:bookmarkStart w:id="436" w:name="_Toc12946"/>
      <w:bookmarkStart w:id="437" w:name="_Toc27802"/>
      <w:bookmarkStart w:id="438" w:name="_Toc5083"/>
      <w:bookmarkStart w:id="439" w:name="_Toc2459"/>
      <w:bookmarkStart w:id="440" w:name="_Toc4735"/>
      <w:bookmarkStart w:id="441" w:name="_Toc4139"/>
      <w:bookmarkStart w:id="442" w:name="_Toc31475"/>
      <w:bookmarkStart w:id="443" w:name="_Toc14404"/>
      <w:bookmarkStart w:id="444" w:name="_Toc2954"/>
      <w:bookmarkStart w:id="445" w:name="_Toc22687"/>
      <w:bookmarkStart w:id="446" w:name="_Toc16210"/>
      <w:bookmarkStart w:id="447" w:name="_Toc9466"/>
      <w:bookmarkStart w:id="448" w:name="_Toc28700"/>
      <w:bookmarkStart w:id="449" w:name="_Toc6157"/>
      <w:bookmarkStart w:id="450" w:name="_Toc27196"/>
      <w:bookmarkStart w:id="451" w:name="_Toc10858"/>
      <w:bookmarkStart w:id="452" w:name="_Toc31081"/>
      <w:bookmarkStart w:id="453" w:name="_Toc5512"/>
      <w:r>
        <w:rPr>
          <w:rFonts w:hint="eastAsia" w:ascii="黑体" w:hAnsi="黑体" w:eastAsia="黑体" w:cs="黑体"/>
          <w:kern w:val="44"/>
          <w:sz w:val="32"/>
          <w:szCs w:val="32"/>
        </w:rPr>
        <w:t>二、</w:t>
      </w:r>
      <w:bookmarkEnd w:id="416"/>
      <w:bookmarkEnd w:id="417"/>
      <w:bookmarkEnd w:id="418"/>
      <w:bookmarkEnd w:id="419"/>
      <w:r>
        <w:rPr>
          <w:rFonts w:hint="eastAsia" w:ascii="黑体" w:hAnsi="黑体" w:eastAsia="黑体" w:cs="黑体"/>
          <w:kern w:val="44"/>
          <w:sz w:val="32"/>
          <w:szCs w:val="32"/>
        </w:rPr>
        <w:t>面临形势</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before="190" w:beforeLines="50" w:after="190" w:afterLines="50"/>
        <w:ind w:firstLine="640"/>
        <w:outlineLvl w:val="1"/>
        <w:rPr>
          <w:rFonts w:ascii="楷体" w:hAnsi="楷体" w:eastAsia="楷体" w:cs="楷体"/>
          <w:sz w:val="32"/>
          <w:szCs w:val="32"/>
        </w:rPr>
      </w:pPr>
      <w:bookmarkStart w:id="454" w:name="_Toc3589"/>
      <w:bookmarkStart w:id="455" w:name="_Toc27143"/>
      <w:bookmarkStart w:id="456" w:name="_Toc12738"/>
      <w:bookmarkStart w:id="457" w:name="_Toc17316"/>
      <w:bookmarkStart w:id="458" w:name="_Toc9267"/>
      <w:bookmarkStart w:id="459" w:name="_Toc16344"/>
      <w:bookmarkStart w:id="460" w:name="_Toc30831"/>
      <w:bookmarkStart w:id="461" w:name="_Toc11813"/>
      <w:bookmarkStart w:id="462" w:name="_Toc23887"/>
      <w:bookmarkStart w:id="463" w:name="_Toc27579"/>
      <w:bookmarkStart w:id="464" w:name="_Toc29322"/>
      <w:bookmarkStart w:id="465" w:name="_Toc22799"/>
      <w:bookmarkStart w:id="466" w:name="_Toc5972"/>
      <w:bookmarkStart w:id="467" w:name="_Toc5466"/>
      <w:bookmarkStart w:id="468" w:name="_Toc17598"/>
      <w:bookmarkStart w:id="469" w:name="_Toc28166"/>
      <w:bookmarkStart w:id="470" w:name="_Toc11543"/>
      <w:bookmarkStart w:id="471" w:name="_Toc28251"/>
      <w:bookmarkStart w:id="472" w:name="_Toc8502"/>
      <w:bookmarkStart w:id="473" w:name="_Toc496"/>
      <w:bookmarkStart w:id="474" w:name="_Toc11603"/>
      <w:bookmarkStart w:id="475" w:name="_Toc8029"/>
      <w:bookmarkStart w:id="476" w:name="_Toc23908"/>
      <w:bookmarkStart w:id="477" w:name="_Toc18743"/>
      <w:bookmarkStart w:id="478" w:name="_Toc13049"/>
      <w:bookmarkStart w:id="479" w:name="_Toc26532"/>
      <w:bookmarkStart w:id="480" w:name="_Toc20968"/>
      <w:bookmarkStart w:id="481" w:name="_Toc11044"/>
      <w:bookmarkStart w:id="482" w:name="_Toc4463"/>
      <w:bookmarkStart w:id="483" w:name="_Toc22474"/>
      <w:bookmarkStart w:id="484" w:name="_Toc5017"/>
      <w:bookmarkStart w:id="485" w:name="_Toc20095"/>
      <w:bookmarkStart w:id="486" w:name="_Toc17738"/>
      <w:bookmarkStart w:id="487" w:name="_Toc15420"/>
      <w:bookmarkStart w:id="488" w:name="_Toc5182"/>
      <w:bookmarkStart w:id="489" w:name="_Toc521966771"/>
      <w:r>
        <w:rPr>
          <w:rFonts w:hint="eastAsia" w:ascii="楷体" w:hAnsi="楷体" w:eastAsia="楷体" w:cs="楷体"/>
          <w:sz w:val="32"/>
          <w:szCs w:val="32"/>
        </w:rPr>
        <w:t>（一）新一代信息技术进入成长爆发新阶段</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以新一代信息技术为代表的新兴科技快速发展，人类进入人机物三元融合的万物智能互联时代，数据成为驱动经济社会发展的关键生产要素，推动实体经济发展模式、生产方式深刻变革。</w:t>
      </w:r>
      <w:r>
        <w:rPr>
          <w:rFonts w:ascii="仿宋" w:hAnsi="仿宋" w:eastAsia="仿宋" w:cs="仿宋_GB2312"/>
          <w:kern w:val="0"/>
          <w:sz w:val="32"/>
          <w:szCs w:val="32"/>
        </w:rPr>
        <w:t>新冠疫情爆发以来，客观上加快</w:t>
      </w:r>
      <w:r>
        <w:rPr>
          <w:rFonts w:hint="eastAsia" w:ascii="仿宋" w:hAnsi="仿宋" w:eastAsia="仿宋" w:cs="仿宋_GB2312"/>
          <w:kern w:val="0"/>
          <w:sz w:val="32"/>
          <w:szCs w:val="32"/>
          <w:lang w:val="en-US" w:eastAsia="zh-CN"/>
        </w:rPr>
        <w:t>了</w:t>
      </w:r>
      <w:r>
        <w:rPr>
          <w:rFonts w:ascii="仿宋" w:hAnsi="仿宋" w:eastAsia="仿宋" w:cs="仿宋_GB2312"/>
          <w:kern w:val="0"/>
          <w:sz w:val="32"/>
          <w:szCs w:val="32"/>
        </w:rPr>
        <w:t>经济社会各领域数字化进程</w:t>
      </w:r>
      <w:r>
        <w:rPr>
          <w:rFonts w:hint="eastAsia" w:ascii="仿宋" w:hAnsi="仿宋" w:eastAsia="仿宋" w:cs="仿宋_GB2312"/>
          <w:kern w:val="0"/>
          <w:sz w:val="32"/>
          <w:szCs w:val="32"/>
        </w:rPr>
        <w:t>，后疫情时代，</w:t>
      </w:r>
      <w:r>
        <w:rPr>
          <w:rFonts w:ascii="仿宋" w:hAnsi="仿宋" w:eastAsia="仿宋" w:cs="仿宋_GB2312"/>
          <w:kern w:val="0"/>
          <w:sz w:val="32"/>
          <w:szCs w:val="32"/>
        </w:rPr>
        <w:t>供给端的产品创新</w:t>
      </w:r>
      <w:r>
        <w:rPr>
          <w:rFonts w:hint="eastAsia" w:ascii="仿宋" w:hAnsi="仿宋" w:eastAsia="仿宋" w:cs="仿宋_GB2312"/>
          <w:kern w:val="0"/>
          <w:sz w:val="32"/>
          <w:szCs w:val="32"/>
          <w:lang w:val="en-US" w:eastAsia="zh-CN"/>
        </w:rPr>
        <w:t>将快速发展，</w:t>
      </w:r>
      <w:r>
        <w:rPr>
          <w:rFonts w:ascii="仿宋" w:hAnsi="仿宋" w:eastAsia="仿宋" w:cs="仿宋_GB2312"/>
          <w:kern w:val="0"/>
          <w:sz w:val="32"/>
          <w:szCs w:val="32"/>
        </w:rPr>
        <w:t>我国顺势加快新基建</w:t>
      </w:r>
      <w:r>
        <w:rPr>
          <w:rFonts w:hint="eastAsia" w:ascii="仿宋" w:hAnsi="仿宋" w:eastAsia="仿宋" w:cs="仿宋_GB2312"/>
          <w:kern w:val="0"/>
          <w:sz w:val="32"/>
          <w:szCs w:val="32"/>
          <w:lang w:val="en-US" w:eastAsia="zh-CN"/>
        </w:rPr>
        <w:t>建设</w:t>
      </w:r>
      <w:r>
        <w:rPr>
          <w:rFonts w:ascii="仿宋" w:hAnsi="仿宋" w:eastAsia="仿宋" w:cs="仿宋_GB2312"/>
          <w:kern w:val="0"/>
          <w:sz w:val="32"/>
          <w:szCs w:val="32"/>
        </w:rPr>
        <w:t>，培育数据要素市场，壮大数字经济新动能</w:t>
      </w:r>
      <w:r>
        <w:rPr>
          <w:rFonts w:hint="eastAsia" w:ascii="仿宋" w:hAnsi="仿宋" w:eastAsia="仿宋" w:cs="仿宋_GB2312"/>
          <w:kern w:val="0"/>
          <w:sz w:val="32"/>
          <w:szCs w:val="32"/>
        </w:rPr>
        <w:t>。</w:t>
      </w:r>
      <w:bookmarkEnd w:id="489"/>
      <w:r>
        <w:rPr>
          <w:rFonts w:hint="eastAsia" w:ascii="仿宋" w:hAnsi="仿宋" w:eastAsia="仿宋" w:cs="仿宋_GB2312"/>
          <w:kern w:val="0"/>
          <w:sz w:val="32"/>
          <w:szCs w:val="32"/>
        </w:rPr>
        <w:t>“十四五”是数字经济发展重要机遇期，蕴藏巨大发展空间。</w:t>
      </w:r>
    </w:p>
    <w:p>
      <w:pPr>
        <w:spacing w:before="190" w:beforeLines="50" w:after="190" w:afterLines="50"/>
        <w:ind w:firstLine="640"/>
        <w:outlineLvl w:val="1"/>
        <w:rPr>
          <w:rFonts w:ascii="楷体" w:hAnsi="楷体" w:eastAsia="楷体" w:cs="楷体"/>
          <w:sz w:val="32"/>
          <w:szCs w:val="32"/>
        </w:rPr>
      </w:pPr>
      <w:bookmarkStart w:id="490" w:name="_Toc6635"/>
      <w:bookmarkStart w:id="491" w:name="_Toc29782"/>
      <w:bookmarkStart w:id="492" w:name="_Toc29635"/>
      <w:bookmarkStart w:id="493" w:name="_Toc13257"/>
      <w:bookmarkStart w:id="494" w:name="_Toc12455"/>
      <w:bookmarkStart w:id="495" w:name="_Toc30929"/>
      <w:bookmarkStart w:id="496" w:name="_Toc14934"/>
      <w:bookmarkStart w:id="497" w:name="_Toc4365"/>
      <w:bookmarkStart w:id="498" w:name="_Toc1474"/>
      <w:bookmarkStart w:id="499" w:name="_Toc9044"/>
      <w:bookmarkStart w:id="500" w:name="_Toc18715"/>
      <w:bookmarkStart w:id="501" w:name="_Toc9838"/>
      <w:bookmarkStart w:id="502" w:name="_Toc20987"/>
      <w:bookmarkStart w:id="503" w:name="_Toc25282"/>
      <w:bookmarkStart w:id="504" w:name="_Toc27795"/>
      <w:bookmarkStart w:id="505" w:name="_Toc11505"/>
      <w:bookmarkStart w:id="506" w:name="_Toc2368"/>
      <w:bookmarkStart w:id="507" w:name="_Toc3579"/>
      <w:bookmarkStart w:id="508" w:name="_Toc870"/>
      <w:bookmarkStart w:id="509" w:name="_Toc2519"/>
      <w:bookmarkStart w:id="510" w:name="_Toc10762"/>
      <w:bookmarkStart w:id="511" w:name="_Toc13561"/>
      <w:bookmarkStart w:id="512" w:name="_Toc26572"/>
      <w:bookmarkStart w:id="513" w:name="_Toc10505"/>
      <w:bookmarkStart w:id="514" w:name="_Toc19059"/>
      <w:bookmarkStart w:id="515" w:name="_Toc6348"/>
      <w:bookmarkStart w:id="516" w:name="_Toc11424"/>
      <w:bookmarkStart w:id="517" w:name="_Toc26994"/>
      <w:bookmarkStart w:id="518" w:name="_Toc10528"/>
      <w:bookmarkStart w:id="519" w:name="_Toc1417"/>
      <w:bookmarkStart w:id="520" w:name="_Toc19329"/>
      <w:bookmarkStart w:id="521" w:name="_Toc18842"/>
      <w:bookmarkStart w:id="522" w:name="_Toc32077"/>
      <w:bookmarkStart w:id="523" w:name="_Toc10899"/>
      <w:bookmarkStart w:id="524" w:name="_Toc4454"/>
      <w:bookmarkStart w:id="525" w:name="_Toc521966772"/>
      <w:r>
        <w:rPr>
          <w:rFonts w:hint="eastAsia" w:ascii="楷体" w:hAnsi="楷体" w:eastAsia="楷体" w:cs="楷体"/>
          <w:sz w:val="32"/>
          <w:szCs w:val="32"/>
        </w:rPr>
        <w:t>（二）</w:t>
      </w:r>
      <w:bookmarkEnd w:id="490"/>
      <w:bookmarkEnd w:id="491"/>
      <w:bookmarkEnd w:id="492"/>
      <w:bookmarkEnd w:id="493"/>
      <w:bookmarkEnd w:id="494"/>
      <w:bookmarkEnd w:id="495"/>
      <w:bookmarkEnd w:id="496"/>
      <w:bookmarkEnd w:id="497"/>
      <w:bookmarkEnd w:id="498"/>
      <w:bookmarkEnd w:id="499"/>
      <w:bookmarkEnd w:id="500"/>
      <w:bookmarkEnd w:id="501"/>
      <w:r>
        <w:rPr>
          <w:rFonts w:hint="eastAsia" w:ascii="楷体" w:hAnsi="楷体" w:eastAsia="楷体" w:cs="楷体"/>
          <w:sz w:val="32"/>
          <w:szCs w:val="32"/>
        </w:rPr>
        <w:t>数字经济发展将迎来更大的政策支持</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浙江省在全国率先举起数字经济发展的大旗，</w:t>
      </w:r>
      <w:r>
        <w:rPr>
          <w:rFonts w:hint="eastAsia" w:ascii="仿宋" w:hAnsi="仿宋" w:eastAsia="仿宋" w:cs="仿宋_GB2312"/>
          <w:kern w:val="0"/>
          <w:sz w:val="32"/>
          <w:szCs w:val="32"/>
          <w:lang w:val="en-US" w:eastAsia="zh-CN"/>
        </w:rPr>
        <w:t>将</w:t>
      </w:r>
      <w:r>
        <w:rPr>
          <w:rFonts w:hint="eastAsia" w:ascii="仿宋" w:hAnsi="仿宋" w:eastAsia="仿宋" w:cs="仿宋_GB2312"/>
          <w:kern w:val="0"/>
          <w:sz w:val="32"/>
          <w:szCs w:val="32"/>
        </w:rPr>
        <w:t>数字经济作为</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一号工程</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来抓，省数字化改革大会提出加快构建“1+5+2”工作体系等重点任务</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数字经济</w:t>
      </w:r>
      <w:r>
        <w:rPr>
          <w:rFonts w:hint="eastAsia" w:ascii="仿宋" w:hAnsi="仿宋" w:eastAsia="仿宋" w:cs="仿宋_GB2312"/>
          <w:kern w:val="0"/>
          <w:sz w:val="32"/>
          <w:szCs w:val="32"/>
          <w:lang w:val="en-US" w:eastAsia="zh-CN"/>
        </w:rPr>
        <w:t>作为</w:t>
      </w:r>
      <w:r>
        <w:rPr>
          <w:rFonts w:hint="eastAsia" w:ascii="仿宋" w:hAnsi="仿宋" w:eastAsia="仿宋" w:cs="仿宋_GB2312"/>
          <w:kern w:val="0"/>
          <w:sz w:val="32"/>
          <w:szCs w:val="32"/>
        </w:rPr>
        <w:t>数字化改革的重点</w:t>
      </w:r>
      <w:r>
        <w:rPr>
          <w:rFonts w:hint="eastAsia" w:ascii="仿宋" w:hAnsi="仿宋" w:eastAsia="仿宋" w:cs="仿宋_GB2312"/>
          <w:kern w:val="0"/>
          <w:sz w:val="32"/>
          <w:szCs w:val="32"/>
          <w:lang w:val="en-US" w:eastAsia="zh-CN"/>
        </w:rPr>
        <w:t>内容之一</w:t>
      </w:r>
      <w:r>
        <w:rPr>
          <w:rFonts w:hint="eastAsia" w:ascii="仿宋" w:hAnsi="仿宋" w:eastAsia="仿宋" w:cs="仿宋_GB2312"/>
          <w:kern w:val="0"/>
          <w:sz w:val="32"/>
          <w:szCs w:val="32"/>
        </w:rPr>
        <w:t>，</w:t>
      </w:r>
      <w:r>
        <w:rPr>
          <w:rFonts w:hint="eastAsia" w:ascii="仿宋" w:hAnsi="仿宋" w:eastAsia="仿宋" w:cs="仿宋_GB2312"/>
          <w:kern w:val="0"/>
          <w:sz w:val="32"/>
          <w:szCs w:val="32"/>
          <w:lang w:val="en-US" w:eastAsia="zh-CN"/>
        </w:rPr>
        <w:t>相关政策与体制机制将更加完善，工作举措将更加有力</w:t>
      </w:r>
      <w:r>
        <w:rPr>
          <w:rFonts w:hint="eastAsia" w:ascii="仿宋" w:hAnsi="仿宋" w:eastAsia="仿宋" w:cs="仿宋_GB2312"/>
          <w:kern w:val="0"/>
          <w:sz w:val="32"/>
          <w:szCs w:val="32"/>
        </w:rPr>
        <w:t>。《温州市数字经济发展“十四五”规划》提出以“培育千亿级数字经济产业集群，打造数字经济领跑区”为目标，全力做大做强全省数字经济“第三极”。</w:t>
      </w:r>
    </w:p>
    <w:bookmarkEnd w:id="525"/>
    <w:p>
      <w:pPr>
        <w:spacing w:before="190" w:beforeLines="50" w:after="190" w:afterLines="50"/>
        <w:ind w:firstLine="640"/>
        <w:outlineLvl w:val="1"/>
        <w:rPr>
          <w:rFonts w:ascii="楷体" w:hAnsi="楷体" w:eastAsia="楷体" w:cs="楷体"/>
          <w:sz w:val="32"/>
          <w:szCs w:val="32"/>
        </w:rPr>
      </w:pPr>
      <w:bookmarkStart w:id="526" w:name="_Toc11423"/>
      <w:bookmarkStart w:id="527" w:name="_Toc21133"/>
      <w:bookmarkStart w:id="528" w:name="_Toc3702"/>
      <w:bookmarkStart w:id="529" w:name="_Toc21431"/>
      <w:bookmarkStart w:id="530" w:name="_Toc19217"/>
      <w:bookmarkStart w:id="531" w:name="_Toc24168"/>
      <w:bookmarkStart w:id="532" w:name="_Toc27280"/>
      <w:bookmarkStart w:id="533" w:name="_Toc21303"/>
      <w:bookmarkStart w:id="534" w:name="_Toc25271"/>
      <w:bookmarkStart w:id="535" w:name="_Toc9714"/>
      <w:bookmarkStart w:id="536" w:name="_Toc7106"/>
      <w:bookmarkStart w:id="537" w:name="_Toc20816"/>
      <w:bookmarkStart w:id="538" w:name="_Toc22329"/>
      <w:bookmarkStart w:id="539" w:name="_Toc7925"/>
      <w:bookmarkStart w:id="540" w:name="_Toc22951"/>
      <w:bookmarkStart w:id="541" w:name="_Toc24304"/>
      <w:bookmarkStart w:id="542" w:name="_Toc10182"/>
      <w:bookmarkStart w:id="543" w:name="_Toc23586"/>
      <w:bookmarkStart w:id="544" w:name="_Toc7004"/>
      <w:bookmarkStart w:id="545" w:name="_Toc32050"/>
      <w:bookmarkStart w:id="546" w:name="_Toc13559"/>
      <w:bookmarkStart w:id="547" w:name="_Toc20892"/>
      <w:bookmarkStart w:id="548" w:name="_Toc1454"/>
      <w:bookmarkStart w:id="549" w:name="_Toc17414"/>
      <w:bookmarkStart w:id="550" w:name="_Toc29466"/>
      <w:bookmarkStart w:id="551" w:name="_Toc16410"/>
      <w:bookmarkStart w:id="552" w:name="_Toc9210"/>
      <w:bookmarkStart w:id="553" w:name="_Toc12405"/>
      <w:bookmarkStart w:id="554" w:name="_Toc23022"/>
      <w:bookmarkStart w:id="555" w:name="_Toc17875"/>
      <w:bookmarkStart w:id="556" w:name="_Toc26050"/>
      <w:bookmarkStart w:id="557" w:name="_Toc6633"/>
      <w:bookmarkStart w:id="558" w:name="_Toc1616"/>
      <w:bookmarkStart w:id="559" w:name="_Toc2909"/>
      <w:bookmarkStart w:id="560" w:name="_Toc6330"/>
      <w:bookmarkStart w:id="561" w:name="_Toc521966773"/>
      <w:r>
        <w:rPr>
          <w:rFonts w:hint="eastAsia" w:ascii="楷体" w:hAnsi="楷体" w:eastAsia="楷体" w:cs="楷体"/>
          <w:sz w:val="32"/>
          <w:szCs w:val="32"/>
        </w:rPr>
        <w:t>（三）</w:t>
      </w:r>
      <w:bookmarkEnd w:id="526"/>
      <w:bookmarkEnd w:id="527"/>
      <w:bookmarkEnd w:id="528"/>
      <w:bookmarkEnd w:id="529"/>
      <w:bookmarkEnd w:id="530"/>
      <w:bookmarkEnd w:id="531"/>
      <w:bookmarkEnd w:id="532"/>
      <w:bookmarkEnd w:id="533"/>
      <w:bookmarkEnd w:id="534"/>
      <w:bookmarkEnd w:id="535"/>
      <w:bookmarkEnd w:id="536"/>
      <w:bookmarkEnd w:id="537"/>
      <w:r>
        <w:rPr>
          <w:rFonts w:hint="eastAsia" w:ascii="楷体" w:hAnsi="楷体" w:eastAsia="楷体" w:cs="楷体"/>
          <w:sz w:val="32"/>
          <w:szCs w:val="32"/>
        </w:rPr>
        <w:t>发展数字经济是永嘉战略的必然选择</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“十四五”时期永嘉经济发展进入数字驱动、创新引领的新阶段，处于奋力开创新时代高质量赶超发展的关键期。发展数字经济是百行千业与信息技术的深度融合，推动制造业</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服务业</w:t>
      </w:r>
      <w:r>
        <w:rPr>
          <w:rFonts w:hint="eastAsia" w:ascii="仿宋" w:hAnsi="仿宋" w:eastAsia="仿宋" w:cs="仿宋_GB2312"/>
          <w:kern w:val="0"/>
          <w:sz w:val="32"/>
          <w:szCs w:val="32"/>
        </w:rPr>
        <w:t>和农业</w:t>
      </w:r>
      <w:r>
        <w:rPr>
          <w:rFonts w:hint="eastAsia" w:ascii="仿宋" w:hAnsi="仿宋" w:eastAsia="仿宋" w:cs="仿宋_GB2312"/>
          <w:kern w:val="0"/>
          <w:sz w:val="32"/>
          <w:szCs w:val="32"/>
          <w:lang w:val="en-US" w:eastAsia="zh-CN"/>
        </w:rPr>
        <w:t>全面数字化</w:t>
      </w:r>
      <w:r>
        <w:rPr>
          <w:rFonts w:hint="eastAsia" w:ascii="仿宋" w:hAnsi="仿宋" w:eastAsia="仿宋" w:cs="仿宋_GB2312"/>
          <w:kern w:val="0"/>
          <w:sz w:val="32"/>
          <w:szCs w:val="32"/>
        </w:rPr>
        <w:t>转型。加快发展数字经济，是永嘉培育新增长点、形成新动能的主要路径，是永嘉主动融入温州都市圈、全省乃至全国发展大格局，建设创新活力智城的战略选择。</w:t>
      </w:r>
    </w:p>
    <w:bookmarkEnd w:id="561"/>
    <w:p>
      <w:pPr>
        <w:spacing w:before="190" w:beforeLines="50" w:after="190" w:afterLines="50"/>
        <w:ind w:firstLine="640"/>
        <w:outlineLvl w:val="1"/>
        <w:rPr>
          <w:rFonts w:ascii="楷体" w:hAnsi="楷体" w:eastAsia="楷体" w:cs="楷体"/>
          <w:sz w:val="32"/>
          <w:szCs w:val="32"/>
        </w:rPr>
      </w:pPr>
      <w:bookmarkStart w:id="562" w:name="_Toc20677"/>
      <w:bookmarkStart w:id="563" w:name="_Toc614"/>
      <w:bookmarkStart w:id="564" w:name="_Toc30744"/>
      <w:bookmarkStart w:id="565" w:name="_Toc16608"/>
      <w:bookmarkStart w:id="566" w:name="_Toc5571"/>
      <w:bookmarkStart w:id="567" w:name="_Toc1276"/>
      <w:bookmarkStart w:id="568" w:name="_Toc29480"/>
      <w:bookmarkStart w:id="569" w:name="_Toc19755"/>
      <w:bookmarkStart w:id="570" w:name="_Toc27787"/>
      <w:bookmarkStart w:id="571" w:name="_Toc19273"/>
      <w:bookmarkStart w:id="572" w:name="_Toc30072"/>
      <w:bookmarkStart w:id="573" w:name="_Toc31560"/>
      <w:bookmarkStart w:id="574" w:name="_Toc24508"/>
      <w:bookmarkStart w:id="575" w:name="_Toc22508"/>
      <w:bookmarkStart w:id="576" w:name="_Toc123"/>
      <w:bookmarkStart w:id="577" w:name="_Toc8631"/>
      <w:bookmarkStart w:id="578" w:name="_Toc17320"/>
      <w:bookmarkStart w:id="579" w:name="_Toc11896"/>
      <w:bookmarkStart w:id="580" w:name="_Toc26352"/>
      <w:bookmarkStart w:id="581" w:name="_Toc10784"/>
      <w:bookmarkStart w:id="582" w:name="_Toc21585"/>
      <w:bookmarkStart w:id="583" w:name="_Toc23911"/>
      <w:bookmarkStart w:id="584" w:name="_Toc3254"/>
      <w:bookmarkStart w:id="585" w:name="_Toc19941"/>
      <w:bookmarkStart w:id="586" w:name="_Toc4771"/>
      <w:bookmarkStart w:id="587" w:name="_Toc11117"/>
      <w:bookmarkStart w:id="588" w:name="_Toc25840"/>
      <w:bookmarkStart w:id="589" w:name="_Toc17209"/>
      <w:bookmarkStart w:id="590" w:name="_Toc17205"/>
      <w:bookmarkStart w:id="591" w:name="_Toc8289"/>
      <w:bookmarkStart w:id="592" w:name="_Toc10197"/>
      <w:bookmarkStart w:id="593" w:name="_Toc8197"/>
      <w:bookmarkStart w:id="594" w:name="_Toc32107"/>
      <w:bookmarkStart w:id="595" w:name="_Toc4609"/>
      <w:bookmarkStart w:id="596" w:name="_Toc32714"/>
      <w:r>
        <w:rPr>
          <w:rFonts w:hint="eastAsia" w:ascii="楷体" w:hAnsi="楷体" w:eastAsia="楷体" w:cs="楷体"/>
          <w:sz w:val="32"/>
          <w:szCs w:val="32"/>
        </w:rPr>
        <w:t>（四）数字经济为永嘉未来发展带来新机遇</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以国内大循环为主体、国内国际双循环相互促进的新发展格局的加速构筑，内需潜力进一步被激活。长三角一体化发展国家战略、温州全国性综合交通枢纽城市全力推进，永嘉的区域优势凸显，成为打造温州融杭接沪的</w:t>
      </w:r>
      <w:r>
        <w:rPr>
          <w:rFonts w:hint="cs" w:ascii="仿宋" w:hAnsi="仿宋" w:eastAsia="仿宋" w:cs="仿宋_GB2312"/>
          <w:kern w:val="0"/>
          <w:sz w:val="32"/>
          <w:szCs w:val="32"/>
        </w:rPr>
        <w:t>“</w:t>
      </w:r>
      <w:r>
        <w:rPr>
          <w:rFonts w:hint="eastAsia" w:ascii="仿宋" w:hAnsi="仿宋" w:eastAsia="仿宋" w:cs="仿宋_GB2312"/>
          <w:kern w:val="0"/>
          <w:sz w:val="32"/>
          <w:szCs w:val="32"/>
        </w:rPr>
        <w:t>桥头堡</w:t>
      </w:r>
      <w:r>
        <w:rPr>
          <w:rFonts w:hint="cs" w:ascii="仿宋" w:hAnsi="仿宋" w:eastAsia="仿宋" w:cs="仿宋_GB2312"/>
          <w:kern w:val="0"/>
          <w:sz w:val="32"/>
          <w:szCs w:val="32"/>
        </w:rPr>
        <w:t>”</w:t>
      </w:r>
      <w:r>
        <w:rPr>
          <w:rFonts w:hint="eastAsia" w:ascii="仿宋" w:hAnsi="仿宋" w:eastAsia="仿宋" w:cs="仿宋_GB2312"/>
          <w:kern w:val="0"/>
          <w:sz w:val="32"/>
          <w:szCs w:val="32"/>
        </w:rPr>
        <w:t>。“十四五”期间永嘉迎来杭温高铁两处设站、“一江两岸”协同发展的重大机遇，有利于承接</w:t>
      </w:r>
      <w:r>
        <w:rPr>
          <w:rFonts w:hint="eastAsia" w:ascii="仿宋" w:hAnsi="仿宋" w:eastAsia="仿宋" w:cs="仿宋_GB2312"/>
          <w:kern w:val="0"/>
          <w:sz w:val="32"/>
          <w:szCs w:val="32"/>
          <w:lang w:val="en-US" w:eastAsia="zh-CN"/>
        </w:rPr>
        <w:t>长三角</w:t>
      </w:r>
      <w:r>
        <w:rPr>
          <w:rFonts w:hint="eastAsia" w:ascii="仿宋" w:hAnsi="仿宋" w:eastAsia="仿宋" w:cs="仿宋_GB2312"/>
          <w:kern w:val="0"/>
          <w:sz w:val="32"/>
          <w:szCs w:val="32"/>
        </w:rPr>
        <w:t>产业辐射，为永嘉全面推进数字经济发展提供了广阔空间，数字经济引领带动作用显著增强。</w:t>
      </w:r>
    </w:p>
    <w:p>
      <w:pPr>
        <w:spacing w:before="190" w:beforeLines="50" w:after="190" w:afterLines="50"/>
        <w:ind w:firstLine="640"/>
        <w:outlineLvl w:val="0"/>
        <w:rPr>
          <w:rFonts w:ascii="黑体" w:hAnsi="黑体" w:eastAsia="黑体" w:cs="黑体"/>
          <w:kern w:val="44"/>
          <w:sz w:val="32"/>
          <w:szCs w:val="32"/>
        </w:rPr>
      </w:pPr>
      <w:bookmarkStart w:id="597" w:name="_Toc8752"/>
      <w:bookmarkStart w:id="598" w:name="_Toc13618"/>
      <w:bookmarkStart w:id="599" w:name="_Toc25116"/>
      <w:bookmarkStart w:id="600" w:name="_Toc24154"/>
      <w:bookmarkStart w:id="601" w:name="_Toc29582"/>
      <w:bookmarkStart w:id="602" w:name="_Toc5247"/>
      <w:bookmarkStart w:id="603" w:name="_Toc16340"/>
      <w:bookmarkStart w:id="604" w:name="_Toc14353172"/>
      <w:bookmarkStart w:id="605" w:name="_Toc4543"/>
      <w:bookmarkStart w:id="606" w:name="_Toc7163"/>
      <w:bookmarkStart w:id="607" w:name="_Toc10132"/>
      <w:bookmarkStart w:id="608" w:name="_Toc26026"/>
      <w:bookmarkStart w:id="609" w:name="_Toc4088"/>
      <w:bookmarkStart w:id="610" w:name="_Toc18845"/>
      <w:bookmarkStart w:id="611" w:name="_Toc1201"/>
      <w:bookmarkStart w:id="612" w:name="_Toc29968"/>
      <w:bookmarkStart w:id="613" w:name="_Toc29771"/>
      <w:bookmarkStart w:id="614" w:name="_Toc32652"/>
      <w:bookmarkStart w:id="615" w:name="_Toc26719"/>
      <w:bookmarkStart w:id="616" w:name="_Toc31858"/>
      <w:bookmarkStart w:id="617" w:name="_Toc13968"/>
      <w:bookmarkStart w:id="618" w:name="_Toc11244"/>
      <w:bookmarkStart w:id="619" w:name="_Toc29758"/>
      <w:bookmarkStart w:id="620" w:name="_Toc31762"/>
      <w:bookmarkStart w:id="621" w:name="_Toc19497"/>
      <w:bookmarkStart w:id="622" w:name="_Toc26369"/>
      <w:bookmarkStart w:id="623" w:name="_Toc3282"/>
      <w:bookmarkStart w:id="624" w:name="_Toc30084"/>
      <w:bookmarkStart w:id="625" w:name="_Toc5018"/>
      <w:bookmarkStart w:id="626" w:name="_Toc1047"/>
      <w:bookmarkStart w:id="627" w:name="_Toc25624"/>
      <w:bookmarkStart w:id="628" w:name="_Toc24678"/>
      <w:bookmarkStart w:id="629" w:name="_Toc6201"/>
      <w:bookmarkStart w:id="630" w:name="_Toc16184"/>
      <w:bookmarkStart w:id="631" w:name="_Toc22835"/>
      <w:bookmarkStart w:id="632" w:name="_Toc14721"/>
      <w:bookmarkStart w:id="633" w:name="_Toc31130"/>
      <w:r>
        <w:rPr>
          <w:rFonts w:hint="eastAsia" w:ascii="黑体" w:hAnsi="黑体" w:eastAsia="黑体" w:cs="黑体"/>
          <w:kern w:val="44"/>
          <w:sz w:val="32"/>
          <w:szCs w:val="32"/>
        </w:rPr>
        <w:t>三、发展</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Fonts w:hint="eastAsia" w:ascii="黑体" w:hAnsi="黑体" w:eastAsia="黑体" w:cs="黑体"/>
          <w:kern w:val="44"/>
          <w:sz w:val="32"/>
          <w:szCs w:val="32"/>
        </w:rPr>
        <w:t>目标</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spacing w:before="190" w:beforeLines="50" w:after="190" w:afterLines="50"/>
        <w:ind w:firstLine="640"/>
        <w:outlineLvl w:val="1"/>
        <w:rPr>
          <w:rFonts w:ascii="楷体" w:hAnsi="楷体" w:eastAsia="楷体" w:cs="楷体"/>
          <w:sz w:val="32"/>
          <w:szCs w:val="32"/>
        </w:rPr>
      </w:pPr>
      <w:bookmarkStart w:id="634" w:name="_Toc4071"/>
      <w:bookmarkStart w:id="635" w:name="_Toc5612"/>
      <w:bookmarkStart w:id="636" w:name="_Toc23137"/>
      <w:bookmarkStart w:id="637" w:name="_Toc26380"/>
      <w:bookmarkStart w:id="638" w:name="_Toc24737"/>
      <w:bookmarkStart w:id="639" w:name="_Toc14353173"/>
      <w:bookmarkStart w:id="640" w:name="_Toc6161"/>
      <w:bookmarkStart w:id="641" w:name="_Toc7413"/>
      <w:bookmarkStart w:id="642" w:name="_Toc4015"/>
      <w:bookmarkStart w:id="643" w:name="_Toc27456"/>
      <w:bookmarkStart w:id="644" w:name="_Toc10143"/>
      <w:bookmarkStart w:id="645" w:name="_Toc20659"/>
      <w:bookmarkStart w:id="646" w:name="_Toc23795"/>
      <w:bookmarkStart w:id="647" w:name="_Toc24306"/>
      <w:bookmarkStart w:id="648" w:name="_Toc28054"/>
      <w:bookmarkStart w:id="649" w:name="_Toc25387"/>
      <w:bookmarkStart w:id="650" w:name="_Toc18870"/>
      <w:bookmarkStart w:id="651" w:name="_Toc10895"/>
      <w:bookmarkStart w:id="652" w:name="_Toc9695"/>
      <w:bookmarkStart w:id="653" w:name="_Toc1140"/>
      <w:bookmarkStart w:id="654" w:name="_Toc10374"/>
      <w:bookmarkStart w:id="655" w:name="_Toc9354"/>
      <w:bookmarkStart w:id="656" w:name="_Toc5475"/>
      <w:bookmarkStart w:id="657" w:name="_Toc13917"/>
      <w:bookmarkStart w:id="658" w:name="_Toc521966786"/>
      <w:bookmarkStart w:id="659" w:name="_Toc25170"/>
      <w:bookmarkStart w:id="660" w:name="_Toc10056"/>
      <w:bookmarkStart w:id="661" w:name="_Toc16855"/>
      <w:bookmarkStart w:id="662" w:name="_Toc7012"/>
      <w:bookmarkStart w:id="663" w:name="_Toc5740"/>
      <w:bookmarkStart w:id="664" w:name="_Toc29653"/>
      <w:bookmarkStart w:id="665" w:name="_Toc26643"/>
      <w:bookmarkStart w:id="666" w:name="_Toc22606"/>
      <w:bookmarkStart w:id="667" w:name="_Toc25841"/>
      <w:bookmarkStart w:id="668" w:name="_Toc27705"/>
      <w:bookmarkStart w:id="669" w:name="_Toc21891"/>
      <w:bookmarkStart w:id="670" w:name="_Toc7476"/>
      <w:r>
        <w:rPr>
          <w:rFonts w:hint="eastAsia" w:ascii="楷体" w:hAnsi="楷体" w:eastAsia="楷体" w:cs="楷体"/>
          <w:sz w:val="32"/>
          <w:szCs w:val="32"/>
        </w:rPr>
        <w:t>（一）指导思想</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以习近平新时代中国特色社会主义思想为指导，深入贯彻党的十九大以及二中、三中、四中、五中、六中全会精神，以深化供给侧结构性改革为主线，以改革创新为根本动力，忠实践行“八八战略”、奋力打造“重要窗口”，全面落实省委省政府和市委关于数字经济发展战略部署，以全省数字化改革为引领，紧扣“数字产业化、产业数字化、治理数字化”发展主线，</w:t>
      </w:r>
      <w:r>
        <w:rPr>
          <w:rFonts w:ascii="仿宋" w:hAnsi="仿宋" w:eastAsia="仿宋" w:cs="仿宋_GB2312"/>
          <w:kern w:val="0"/>
          <w:sz w:val="32"/>
          <w:szCs w:val="32"/>
        </w:rPr>
        <w:t>立足永嘉</w:t>
      </w:r>
      <w:r>
        <w:rPr>
          <w:rFonts w:hint="eastAsia" w:ascii="仿宋" w:hAnsi="仿宋" w:eastAsia="仿宋" w:cs="仿宋_GB2312"/>
          <w:kern w:val="0"/>
          <w:sz w:val="32"/>
          <w:szCs w:val="32"/>
        </w:rPr>
        <w:t>产业</w:t>
      </w:r>
      <w:r>
        <w:rPr>
          <w:rFonts w:ascii="仿宋" w:hAnsi="仿宋" w:eastAsia="仿宋" w:cs="仿宋_GB2312"/>
          <w:kern w:val="0"/>
          <w:sz w:val="32"/>
          <w:szCs w:val="32"/>
        </w:rPr>
        <w:t>特色和</w:t>
      </w:r>
      <w:r>
        <w:rPr>
          <w:rFonts w:hint="eastAsia" w:ascii="仿宋" w:hAnsi="仿宋" w:eastAsia="仿宋" w:cs="仿宋_GB2312"/>
          <w:kern w:val="0"/>
          <w:sz w:val="32"/>
          <w:szCs w:val="32"/>
        </w:rPr>
        <w:t>区位特征</w:t>
      </w:r>
      <w:r>
        <w:rPr>
          <w:rFonts w:ascii="仿宋" w:hAnsi="仿宋" w:eastAsia="仿宋" w:cs="仿宋_GB2312"/>
          <w:kern w:val="0"/>
          <w:sz w:val="32"/>
          <w:szCs w:val="32"/>
        </w:rPr>
        <w:t>，拓展数字赋能的深度和广度</w:t>
      </w:r>
      <w:r>
        <w:rPr>
          <w:rFonts w:hint="eastAsia" w:ascii="仿宋" w:hAnsi="仿宋" w:eastAsia="仿宋" w:cs="仿宋_GB2312"/>
          <w:kern w:val="0"/>
          <w:sz w:val="32"/>
          <w:szCs w:val="32"/>
        </w:rPr>
        <w:t>，推动政府、经济、社会的全面数字化转型，</w:t>
      </w:r>
      <w:bookmarkStart w:id="671" w:name="_Toc29937"/>
      <w:r>
        <w:rPr>
          <w:rFonts w:hint="eastAsia" w:ascii="仿宋" w:hAnsi="仿宋" w:eastAsia="仿宋" w:cs="仿宋_GB2312"/>
          <w:kern w:val="0"/>
          <w:sz w:val="32"/>
          <w:szCs w:val="32"/>
        </w:rPr>
        <w:t>奋力打造加快发展县中的数字经济发展新高地。</w:t>
      </w:r>
    </w:p>
    <w:p>
      <w:pPr>
        <w:spacing w:before="190" w:beforeLines="50" w:after="190" w:afterLines="50"/>
        <w:ind w:firstLine="640"/>
        <w:outlineLvl w:val="1"/>
        <w:rPr>
          <w:rFonts w:ascii="楷体" w:hAnsi="楷体" w:eastAsia="楷体" w:cs="楷体"/>
          <w:sz w:val="32"/>
          <w:szCs w:val="32"/>
        </w:rPr>
      </w:pPr>
      <w:bookmarkStart w:id="672" w:name="_Toc9126"/>
      <w:bookmarkStart w:id="673" w:name="_Toc25299"/>
      <w:bookmarkStart w:id="674" w:name="_Toc16871"/>
      <w:bookmarkStart w:id="675" w:name="_Toc21959"/>
      <w:bookmarkStart w:id="676" w:name="_Toc19470"/>
      <w:bookmarkStart w:id="677" w:name="_Toc18261"/>
      <w:bookmarkStart w:id="678" w:name="_Toc9821"/>
      <w:bookmarkStart w:id="679" w:name="_Toc25958"/>
      <w:bookmarkStart w:id="680" w:name="_Toc30529"/>
      <w:bookmarkStart w:id="681" w:name="_Toc23063"/>
      <w:bookmarkStart w:id="682" w:name="_Toc30469"/>
      <w:bookmarkStart w:id="683" w:name="_Toc29328"/>
      <w:bookmarkStart w:id="684" w:name="_Toc17364"/>
      <w:bookmarkStart w:id="685" w:name="_Toc17993"/>
      <w:bookmarkStart w:id="686" w:name="_Toc10400"/>
      <w:bookmarkStart w:id="687" w:name="_Toc16861"/>
      <w:bookmarkStart w:id="688" w:name="_Toc16718"/>
      <w:bookmarkStart w:id="689" w:name="_Toc22769"/>
      <w:bookmarkStart w:id="690" w:name="_Toc773"/>
      <w:bookmarkStart w:id="691" w:name="_Toc7805"/>
      <w:bookmarkStart w:id="692" w:name="_Toc26261"/>
      <w:bookmarkStart w:id="693" w:name="_Toc3391"/>
      <w:bookmarkStart w:id="694" w:name="_Toc27193"/>
      <w:bookmarkStart w:id="695" w:name="_Toc23756"/>
      <w:bookmarkStart w:id="696" w:name="_Toc13853"/>
      <w:bookmarkStart w:id="697" w:name="_Toc20870"/>
      <w:bookmarkStart w:id="698" w:name="_Toc23066"/>
      <w:bookmarkStart w:id="699" w:name="_Toc523"/>
      <w:bookmarkStart w:id="700" w:name="_Toc29676"/>
      <w:bookmarkStart w:id="701" w:name="_Toc472"/>
      <w:bookmarkStart w:id="702" w:name="_Toc28833"/>
      <w:bookmarkStart w:id="703" w:name="_Toc23941"/>
      <w:bookmarkStart w:id="704" w:name="_Toc6248"/>
      <w:r>
        <w:rPr>
          <w:rFonts w:hint="eastAsia" w:ascii="楷体" w:hAnsi="楷体" w:eastAsia="楷体" w:cs="楷体"/>
          <w:sz w:val="32"/>
          <w:szCs w:val="32"/>
        </w:rPr>
        <w:t>（二）发展定位</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bookmarkEnd w:id="671"/>
    <w:p>
      <w:pPr>
        <w:ind w:firstLine="643"/>
        <w:rPr>
          <w:rFonts w:ascii="仿宋" w:hAnsi="仿宋" w:eastAsia="仿宋" w:cs="仿宋_GB2312"/>
          <w:b/>
          <w:kern w:val="0"/>
          <w:sz w:val="32"/>
          <w:szCs w:val="32"/>
        </w:rPr>
      </w:pPr>
      <w:r>
        <w:rPr>
          <w:rFonts w:ascii="仿宋" w:hAnsi="仿宋" w:eastAsia="仿宋" w:cs="仿宋_GB2312"/>
          <w:b/>
          <w:kern w:val="0"/>
          <w:sz w:val="32"/>
          <w:szCs w:val="32"/>
        </w:rPr>
        <w:t>——</w:t>
      </w:r>
      <w:r>
        <w:rPr>
          <w:rFonts w:hint="eastAsia" w:ascii="仿宋" w:hAnsi="仿宋" w:eastAsia="仿宋" w:cs="仿宋_GB2312"/>
          <w:b/>
          <w:kern w:val="0"/>
          <w:sz w:val="32"/>
          <w:szCs w:val="32"/>
        </w:rPr>
        <w:t>全省产业数字化赋能示范区。</w:t>
      </w:r>
      <w:r>
        <w:rPr>
          <w:rFonts w:hint="eastAsia" w:ascii="仿宋" w:hAnsi="仿宋" w:eastAsia="仿宋" w:cs="仿宋_GB2312"/>
          <w:kern w:val="0"/>
          <w:sz w:val="32"/>
          <w:szCs w:val="32"/>
        </w:rPr>
        <w:t>推动人工智能</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大数据、</w:t>
      </w:r>
      <w:r>
        <w:rPr>
          <w:rFonts w:hint="eastAsia" w:ascii="仿宋" w:hAnsi="仿宋" w:eastAsia="仿宋" w:cs="仿宋_GB2312"/>
          <w:kern w:val="0"/>
          <w:sz w:val="32"/>
          <w:szCs w:val="32"/>
          <w:lang w:val="en-US" w:eastAsia="zh-CN"/>
        </w:rPr>
        <w:t>5G</w:t>
      </w:r>
      <w:r>
        <w:rPr>
          <w:rFonts w:hint="eastAsia" w:ascii="仿宋" w:hAnsi="仿宋" w:eastAsia="仿宋" w:cs="仿宋_GB2312"/>
          <w:kern w:val="0"/>
          <w:sz w:val="32"/>
          <w:szCs w:val="32"/>
        </w:rPr>
        <w:t>和实体经济深度融合，加快泵阀、鞋服、时尚配饰、教玩具制造等重点行业数字化改造深度全覆盖，推动制造业质量变革、效率变革、动力变革，成为全省数字化引领的赋能示范区。</w:t>
      </w:r>
    </w:p>
    <w:p>
      <w:pPr>
        <w:ind w:firstLine="643"/>
        <w:rPr>
          <w:rFonts w:ascii="仿宋" w:hAnsi="仿宋" w:eastAsia="仿宋" w:cs="仿宋"/>
          <w:sz w:val="32"/>
          <w:szCs w:val="32"/>
        </w:rPr>
      </w:pPr>
      <w:r>
        <w:rPr>
          <w:rFonts w:ascii="仿宋" w:hAnsi="仿宋" w:eastAsia="仿宋" w:cs="仿宋_GB2312"/>
          <w:b/>
          <w:kern w:val="0"/>
          <w:sz w:val="32"/>
          <w:szCs w:val="32"/>
        </w:rPr>
        <w:t>——</w:t>
      </w:r>
      <w:r>
        <w:rPr>
          <w:rFonts w:hint="eastAsia" w:ascii="仿宋" w:hAnsi="仿宋" w:eastAsia="仿宋" w:cs="仿宋_GB2312"/>
          <w:b/>
          <w:kern w:val="0"/>
          <w:sz w:val="32"/>
          <w:szCs w:val="32"/>
        </w:rPr>
        <w:t>全市物联网产业创新中心。</w:t>
      </w:r>
      <w:r>
        <w:rPr>
          <w:rFonts w:hint="eastAsia" w:ascii="仿宋" w:hAnsi="仿宋" w:eastAsia="仿宋" w:cs="仿宋"/>
          <w:sz w:val="32"/>
          <w:szCs w:val="32"/>
        </w:rPr>
        <w:t>推动物联网技术与工业技术的深度融合，加快物联网芯片、传感器、RFID、嵌入式系统等技术研发应用，聚焦电力物联网、能源物联网、包装物联网、智能充电桩、智能仪表等细分领域，形成较为完备的技术体系、制造体系和服务体系，打造成温州地区重要的物联网产业智造基地，成为温州数字经济发展的重要增长点之一。</w:t>
      </w:r>
    </w:p>
    <w:p>
      <w:pPr>
        <w:spacing w:before="190" w:beforeLines="50" w:after="190" w:afterLines="50"/>
        <w:ind w:firstLine="960" w:firstLineChars="300"/>
        <w:outlineLvl w:val="1"/>
        <w:rPr>
          <w:rFonts w:ascii="楷体" w:hAnsi="楷体" w:eastAsia="楷体" w:cs="楷体"/>
          <w:sz w:val="32"/>
          <w:szCs w:val="32"/>
        </w:rPr>
      </w:pPr>
      <w:bookmarkStart w:id="705" w:name="_Toc13006"/>
      <w:bookmarkStart w:id="706" w:name="_Toc762"/>
      <w:bookmarkStart w:id="707" w:name="_Toc2267"/>
      <w:r>
        <w:rPr>
          <w:rFonts w:hint="eastAsia" w:ascii="楷体" w:hAnsi="楷体" w:eastAsia="楷体" w:cs="楷体"/>
          <w:sz w:val="32"/>
          <w:szCs w:val="32"/>
        </w:rPr>
        <w:t>（三）发展目标</w:t>
      </w:r>
      <w:bookmarkEnd w:id="705"/>
      <w:bookmarkEnd w:id="706"/>
      <w:bookmarkEnd w:id="707"/>
    </w:p>
    <w:p>
      <w:pPr>
        <w:ind w:firstLine="640"/>
        <w:rPr>
          <w:rFonts w:ascii="仿宋" w:hAnsi="仿宋" w:eastAsia="仿宋" w:cs="仿宋"/>
          <w:kern w:val="0"/>
          <w:sz w:val="32"/>
          <w:szCs w:val="32"/>
        </w:rPr>
      </w:pPr>
      <w:r>
        <w:rPr>
          <w:rFonts w:hint="eastAsia" w:ascii="仿宋" w:hAnsi="仿宋" w:eastAsia="仿宋" w:cs="仿宋"/>
          <w:kern w:val="0"/>
          <w:sz w:val="32"/>
          <w:szCs w:val="32"/>
        </w:rPr>
        <w:t>全县数字经济发展水平明显提高，数字产业保持快速增长，产业数字化应用深入推进，治理数字化协调发展，在26个加快发展县中数字经济发展水平位居前列。</w:t>
      </w:r>
    </w:p>
    <w:p>
      <w:pPr>
        <w:ind w:firstLine="643"/>
        <w:rPr>
          <w:rFonts w:ascii="仿宋" w:hAnsi="仿宋" w:eastAsia="仿宋" w:cs="仿宋_GB2312"/>
          <w:kern w:val="0"/>
          <w:sz w:val="32"/>
          <w:szCs w:val="32"/>
        </w:rPr>
      </w:pPr>
      <w:r>
        <w:rPr>
          <w:rFonts w:hint="eastAsia" w:ascii="仿宋" w:hAnsi="仿宋" w:eastAsia="仿宋" w:cs="仿宋_GB2312"/>
          <w:b/>
          <w:kern w:val="0"/>
          <w:sz w:val="32"/>
          <w:szCs w:val="32"/>
        </w:rPr>
        <w:t>数字产业化规模倍增。</w:t>
      </w:r>
      <w:r>
        <w:rPr>
          <w:rFonts w:hint="eastAsia" w:ascii="仿宋" w:hAnsi="仿宋" w:eastAsia="仿宋" w:cs="仿宋_GB2312"/>
          <w:kern w:val="0"/>
          <w:sz w:val="32"/>
          <w:szCs w:val="32"/>
        </w:rPr>
        <w:t>数字经济核心产业</w:t>
      </w:r>
      <w:r>
        <w:rPr>
          <w:rFonts w:hint="eastAsia" w:ascii="仿宋" w:hAnsi="仿宋" w:eastAsia="仿宋" w:cs="仿宋_GB2312"/>
          <w:kern w:val="0"/>
          <w:sz w:val="32"/>
          <w:szCs w:val="32"/>
          <w:lang w:val="en-US" w:eastAsia="zh-CN"/>
        </w:rPr>
        <w:t>增加值占GDP比重达到10%</w:t>
      </w:r>
      <w:r>
        <w:rPr>
          <w:rFonts w:hint="eastAsia" w:ascii="仿宋" w:hAnsi="仿宋" w:eastAsia="仿宋" w:cs="仿宋_GB2312"/>
          <w:kern w:val="0"/>
          <w:sz w:val="32"/>
          <w:szCs w:val="32"/>
        </w:rPr>
        <w:t>，培育引进10家具有自主知识产权和竞争力的创新企业，建设</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个集聚度较高专业化数字经济园区（特色小镇）。</w:t>
      </w:r>
    </w:p>
    <w:p>
      <w:pPr>
        <w:ind w:firstLine="643"/>
        <w:rPr>
          <w:rFonts w:ascii="仿宋" w:hAnsi="仿宋" w:eastAsia="仿宋" w:cs="仿宋_GB2312"/>
          <w:kern w:val="0"/>
          <w:sz w:val="32"/>
          <w:szCs w:val="32"/>
        </w:rPr>
      </w:pPr>
      <w:r>
        <w:rPr>
          <w:rFonts w:hint="eastAsia" w:ascii="仿宋" w:hAnsi="仿宋" w:eastAsia="仿宋" w:cs="仿宋_GB2312"/>
          <w:b/>
          <w:kern w:val="0"/>
          <w:sz w:val="32"/>
          <w:szCs w:val="32"/>
        </w:rPr>
        <w:t>产业数字化效果明显。</w:t>
      </w:r>
      <w:r>
        <w:rPr>
          <w:rFonts w:hint="eastAsia" w:ascii="仿宋" w:hAnsi="仿宋" w:eastAsia="仿宋" w:cs="仿宋_GB2312"/>
          <w:kern w:val="0"/>
          <w:sz w:val="32"/>
          <w:szCs w:val="32"/>
        </w:rPr>
        <w:t>智能制造全面推广，两化融合指数超过105，建设10家全省技术水平一流的未来工厂、数字化车间/智能工厂，培育10家省级工业互联网创建平台。人工智能大数据、</w:t>
      </w:r>
      <w:r>
        <w:rPr>
          <w:rFonts w:hint="eastAsia" w:ascii="仿宋" w:hAnsi="仿宋" w:eastAsia="仿宋" w:cs="仿宋_GB2312"/>
          <w:kern w:val="0"/>
          <w:sz w:val="32"/>
          <w:szCs w:val="32"/>
          <w:lang w:val="en-US" w:eastAsia="zh-CN"/>
        </w:rPr>
        <w:t>5G</w:t>
      </w:r>
      <w:r>
        <w:rPr>
          <w:rFonts w:hint="eastAsia" w:ascii="仿宋" w:hAnsi="仿宋" w:eastAsia="仿宋" w:cs="仿宋_GB2312"/>
          <w:kern w:val="0"/>
          <w:sz w:val="32"/>
          <w:szCs w:val="32"/>
        </w:rPr>
        <w:t>等新一代技术与农业、服务业实现深度融合。</w:t>
      </w:r>
    </w:p>
    <w:p>
      <w:pPr>
        <w:ind w:firstLine="643"/>
        <w:rPr>
          <w:rFonts w:ascii="仿宋" w:hAnsi="仿宋" w:eastAsia="仿宋" w:cs="仿宋_GB2312"/>
          <w:kern w:val="0"/>
          <w:sz w:val="32"/>
          <w:szCs w:val="32"/>
        </w:rPr>
      </w:pPr>
      <w:r>
        <w:rPr>
          <w:rFonts w:hint="eastAsia" w:ascii="仿宋" w:hAnsi="仿宋" w:eastAsia="仿宋" w:cs="仿宋_GB2312"/>
          <w:b/>
          <w:kern w:val="0"/>
          <w:sz w:val="32"/>
          <w:szCs w:val="32"/>
        </w:rPr>
        <w:t>治理数字化迈上新台阶。</w:t>
      </w:r>
      <w:r>
        <w:rPr>
          <w:rFonts w:hint="eastAsia" w:ascii="仿宋" w:hAnsi="仿宋" w:eastAsia="仿宋" w:cs="仿宋_GB2312"/>
          <w:kern w:val="0"/>
          <w:sz w:val="32"/>
          <w:szCs w:val="32"/>
        </w:rPr>
        <w:t>一体化智能服务平台不断完善，推进数字政府、数字社会、数字乡村建设，大力发展数字旅游、数字医疗、数字养老等数字化生活服务，形成体系完整、功能完善、产业联动的数字县域治理新格局。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黑体" w:hAnsi="黑体" w:eastAsia="黑体" w:cs="黑体"/>
          <w:kern w:val="0"/>
          <w:sz w:val="28"/>
          <w:szCs w:val="28"/>
        </w:rPr>
      </w:pPr>
      <w:bookmarkStart w:id="708" w:name="_Toc4148"/>
      <w:bookmarkStart w:id="709" w:name="_Toc13851"/>
      <w:bookmarkStart w:id="710" w:name="_Toc17957"/>
      <w:bookmarkStart w:id="711" w:name="_Toc3541"/>
      <w:bookmarkStart w:id="712" w:name="_Toc10843"/>
      <w:bookmarkStart w:id="713" w:name="_Toc9706"/>
      <w:bookmarkStart w:id="714" w:name="_Toc30195"/>
      <w:bookmarkStart w:id="715" w:name="_Toc792"/>
      <w:bookmarkStart w:id="716" w:name="_Toc20997"/>
      <w:bookmarkStart w:id="717" w:name="_Toc11868"/>
      <w:bookmarkStart w:id="718" w:name="_Toc30027"/>
      <w:bookmarkStart w:id="719" w:name="_Toc14724"/>
      <w:r>
        <w:rPr>
          <w:rFonts w:hint="eastAsia" w:ascii="黑体" w:hAnsi="黑体" w:eastAsia="黑体" w:cs="黑体"/>
          <w:kern w:val="0"/>
          <w:sz w:val="28"/>
          <w:szCs w:val="28"/>
        </w:rPr>
        <w:t>永嘉县数字经济“十四五”发展目标</w:t>
      </w:r>
      <w:bookmarkEnd w:id="708"/>
      <w:bookmarkEnd w:id="709"/>
      <w:bookmarkEnd w:id="710"/>
      <w:bookmarkEnd w:id="711"/>
      <w:bookmarkEnd w:id="712"/>
      <w:bookmarkEnd w:id="713"/>
      <w:bookmarkEnd w:id="714"/>
      <w:bookmarkEnd w:id="715"/>
      <w:bookmarkEnd w:id="716"/>
      <w:bookmarkEnd w:id="717"/>
      <w:bookmarkEnd w:id="718"/>
      <w:bookmarkEnd w:id="719"/>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90"/>
        <w:gridCol w:w="4514"/>
        <w:gridCol w:w="160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Align w:val="center"/>
          </w:tcPr>
          <w:p>
            <w:pPr>
              <w:spacing w:line="240" w:lineRule="auto"/>
              <w:ind w:firstLine="0" w:firstLineChars="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类别</w:t>
            </w:r>
          </w:p>
        </w:tc>
        <w:tc>
          <w:tcPr>
            <w:tcW w:w="4514" w:type="dxa"/>
            <w:vAlign w:val="center"/>
          </w:tcPr>
          <w:p>
            <w:pPr>
              <w:spacing w:line="240" w:lineRule="auto"/>
              <w:ind w:firstLine="0" w:firstLineChars="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指标</w:t>
            </w:r>
          </w:p>
        </w:tc>
        <w:tc>
          <w:tcPr>
            <w:tcW w:w="1600" w:type="dxa"/>
            <w:vAlign w:val="center"/>
          </w:tcPr>
          <w:p>
            <w:pPr>
              <w:spacing w:line="240" w:lineRule="auto"/>
              <w:ind w:firstLine="0" w:firstLineChars="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2020年</w:t>
            </w:r>
          </w:p>
        </w:tc>
        <w:tc>
          <w:tcPr>
            <w:tcW w:w="1461" w:type="dxa"/>
            <w:vAlign w:val="center"/>
          </w:tcPr>
          <w:p>
            <w:pPr>
              <w:spacing w:line="240" w:lineRule="auto"/>
              <w:ind w:firstLine="0" w:firstLineChars="0"/>
              <w:jc w:val="center"/>
              <w:rPr>
                <w:rFonts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数字经济综合评价指数</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76.1</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restart"/>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数字产业化</w:t>
            </w:r>
          </w:p>
        </w:tc>
        <w:tc>
          <w:tcPr>
            <w:tcW w:w="4514" w:type="dxa"/>
            <w:vAlign w:val="center"/>
          </w:tcPr>
          <w:p>
            <w:pPr>
              <w:spacing w:line="240" w:lineRule="auto"/>
              <w:ind w:firstLine="0" w:firstLineChars="0"/>
              <w:jc w:val="left"/>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数字经济核心产业增加值</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亿元</w:t>
            </w:r>
            <w:r>
              <w:rPr>
                <w:rFonts w:hint="eastAsia" w:ascii="仿宋" w:hAnsi="仿宋" w:eastAsia="仿宋" w:cs="仿宋"/>
                <w:color w:val="000000" w:themeColor="text1"/>
                <w:sz w:val="21"/>
                <w:szCs w:val="21"/>
                <w:lang w:eastAsia="zh-CN"/>
                <w14:textFill>
                  <w14:solidFill>
                    <w14:schemeClr w14:val="tx1"/>
                  </w14:solidFill>
                </w14:textFill>
              </w:rPr>
              <w:t>）</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23.4</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数字经济核心产业增加值占GDP比重（%）</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5.1</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数字经济核心产业上市企业（家）</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0</w:t>
            </w:r>
          </w:p>
        </w:tc>
        <w:tc>
          <w:tcPr>
            <w:tcW w:w="1461" w:type="dxa"/>
            <w:vAlign w:val="center"/>
          </w:tcPr>
          <w:p>
            <w:pPr>
              <w:spacing w:line="240" w:lineRule="auto"/>
              <w:ind w:firstLine="0" w:firstLineChars="0"/>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数字经济国家高新技术企业</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家</w:t>
            </w:r>
            <w:r>
              <w:rPr>
                <w:rFonts w:hint="eastAsia" w:ascii="仿宋" w:hAnsi="仿宋" w:eastAsia="仿宋" w:cs="仿宋"/>
                <w:color w:val="000000" w:themeColor="text1"/>
                <w:sz w:val="21"/>
                <w:szCs w:val="21"/>
                <w:lang w:eastAsia="zh-CN"/>
                <w14:textFill>
                  <w14:solidFill>
                    <w14:schemeClr w14:val="tx1"/>
                  </w14:solidFill>
                </w14:textFill>
              </w:rPr>
              <w:t>）</w:t>
            </w:r>
          </w:p>
        </w:tc>
        <w:tc>
          <w:tcPr>
            <w:tcW w:w="1600"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18</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restart"/>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产业数字化</w:t>
            </w: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两化融合发展指数</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99.41</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规上工业全员劳动生产率（万元/人年）</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14.5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在役工业机器人数量（台）</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535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重点工业企业设备联网率（%）</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46</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未来工厂、数字化车间/智能工厂</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省级工业互联网平台（个）</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企业上云数量（家）</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5400</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网络零售额（亿元）</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200.94</w:t>
            </w:r>
          </w:p>
        </w:tc>
        <w:tc>
          <w:tcPr>
            <w:tcW w:w="1461" w:type="dxa"/>
            <w:vAlign w:val="center"/>
          </w:tcPr>
          <w:p>
            <w:pPr>
              <w:spacing w:line="240" w:lineRule="auto"/>
              <w:ind w:firstLine="0" w:firstLineChars="0"/>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34</w:t>
            </w:r>
            <w:r>
              <w:rPr>
                <w:rFonts w:hint="eastAsia" w:ascii="仿宋" w:hAnsi="仿宋" w:eastAsia="仿宋" w:cs="仿宋"/>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跨境电商出口额（亿元）</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 4.5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restart"/>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治理数字化</w:t>
            </w: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政务服务办件线上受理率（%）</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99.8%</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掌上办公比例（%）</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依申请政务服务办件“一网通办”率（%）</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restart"/>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数字</w:t>
            </w:r>
          </w:p>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基础</w:t>
            </w:r>
          </w:p>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设施</w:t>
            </w: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互联网普及率（%）</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85</w:t>
            </w:r>
          </w:p>
        </w:tc>
        <w:tc>
          <w:tcPr>
            <w:tcW w:w="1461"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5G基站数量（个）</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1100</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r>
              <w:rPr>
                <w:rFonts w:hint="default" w:ascii="仿宋" w:hAnsi="仿宋" w:eastAsia="仿宋" w:cs="仿宋"/>
                <w:color w:val="000000" w:themeColor="text1"/>
                <w:sz w:val="21"/>
                <w:szCs w:val="21"/>
                <w:lang w:val="en-US"/>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0" w:hRule="exact"/>
          <w:jc w:val="center"/>
        </w:trPr>
        <w:tc>
          <w:tcPr>
            <w:tcW w:w="690" w:type="dxa"/>
            <w:vMerge w:val="continue"/>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p>
        </w:tc>
        <w:tc>
          <w:tcPr>
            <w:tcW w:w="4514" w:type="dxa"/>
            <w:vAlign w:val="center"/>
          </w:tcPr>
          <w:p>
            <w:pPr>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数据中心总机架数</w:t>
            </w:r>
          </w:p>
        </w:tc>
        <w:tc>
          <w:tcPr>
            <w:tcW w:w="1600" w:type="dxa"/>
            <w:vAlign w:val="center"/>
          </w:tcPr>
          <w:p>
            <w:pPr>
              <w:spacing w:line="240" w:lineRule="auto"/>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1461" w:type="dxa"/>
            <w:vAlign w:val="center"/>
          </w:tcPr>
          <w:p>
            <w:pPr>
              <w:spacing w:line="240" w:lineRule="auto"/>
              <w:ind w:firstLine="0" w:firstLineChars="0"/>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3500</w:t>
            </w:r>
          </w:p>
        </w:tc>
      </w:tr>
    </w:tbl>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0"/>
        <w:rPr>
          <w:rFonts w:ascii="黑体" w:hAnsi="黑体" w:eastAsia="黑体" w:cs="黑体"/>
          <w:kern w:val="44"/>
          <w:sz w:val="32"/>
          <w:szCs w:val="32"/>
        </w:rPr>
      </w:pPr>
      <w:bookmarkStart w:id="720" w:name="_Toc33"/>
      <w:bookmarkStart w:id="721" w:name="_Toc25305"/>
      <w:bookmarkStart w:id="722" w:name="_Toc3333"/>
      <w:bookmarkStart w:id="723" w:name="_Toc20836"/>
      <w:bookmarkStart w:id="724" w:name="_Toc17839"/>
      <w:bookmarkStart w:id="725" w:name="_Toc15446"/>
      <w:bookmarkStart w:id="726" w:name="_Toc775"/>
      <w:bookmarkStart w:id="727" w:name="_Toc11336"/>
      <w:bookmarkStart w:id="728" w:name="_Toc20458"/>
      <w:bookmarkStart w:id="729" w:name="_Toc18167"/>
      <w:bookmarkStart w:id="730" w:name="_Toc19803"/>
      <w:bookmarkStart w:id="731" w:name="_Toc14413"/>
      <w:bookmarkStart w:id="732" w:name="_Toc8916"/>
      <w:bookmarkStart w:id="733" w:name="_Toc16712"/>
      <w:bookmarkStart w:id="734" w:name="_Toc22570"/>
      <w:bookmarkStart w:id="735" w:name="_Toc30415"/>
      <w:bookmarkStart w:id="736" w:name="_Toc30069"/>
      <w:bookmarkStart w:id="737" w:name="_Toc2983"/>
      <w:bookmarkStart w:id="738" w:name="_Toc19784"/>
      <w:bookmarkStart w:id="739" w:name="_Toc1682"/>
      <w:bookmarkStart w:id="740" w:name="_Toc887"/>
      <w:bookmarkStart w:id="741" w:name="_Toc28217"/>
      <w:bookmarkStart w:id="742" w:name="_Toc26952"/>
      <w:r>
        <w:rPr>
          <w:rFonts w:hint="eastAsia" w:ascii="黑体" w:hAnsi="黑体" w:eastAsia="黑体" w:cs="黑体"/>
          <w:kern w:val="44"/>
          <w:sz w:val="32"/>
          <w:szCs w:val="32"/>
        </w:rPr>
        <w:t>四、发展任务</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52"/>
        <w:keepNext w:val="0"/>
        <w:keepLines w:val="0"/>
        <w:pageBreakBefore w:val="0"/>
        <w:numPr>
          <w:ilvl w:val="255"/>
          <w:numId w:val="0"/>
        </w:numPr>
        <w:kinsoku/>
        <w:wordWrap/>
        <w:overflowPunct/>
        <w:topLinePunct w:val="0"/>
        <w:autoSpaceDE/>
        <w:autoSpaceDN/>
        <w:bidi w:val="0"/>
        <w:adjustRightInd/>
        <w:spacing w:before="190" w:beforeLines="50" w:after="190" w:afterLines="50" w:line="560" w:lineRule="exact"/>
        <w:ind w:left="641"/>
        <w:textAlignment w:val="auto"/>
        <w:outlineLvl w:val="1"/>
        <w:rPr>
          <w:rFonts w:hint="eastAsia" w:ascii="楷体" w:hAnsi="楷体" w:eastAsia="楷体" w:cs="楷体"/>
          <w:sz w:val="32"/>
          <w:szCs w:val="32"/>
        </w:rPr>
      </w:pPr>
      <w:bookmarkStart w:id="743" w:name="_Toc16065"/>
      <w:bookmarkStart w:id="744" w:name="_Toc12131"/>
      <w:bookmarkStart w:id="745" w:name="_Toc14663"/>
      <w:bookmarkStart w:id="746" w:name="_Toc28228"/>
      <w:bookmarkStart w:id="747" w:name="_Toc10297"/>
      <w:bookmarkStart w:id="748" w:name="_Toc6179"/>
      <w:bookmarkStart w:id="749" w:name="_Toc568"/>
      <w:bookmarkStart w:id="750" w:name="_Toc7487"/>
      <w:bookmarkStart w:id="751" w:name="_Toc23743"/>
      <w:bookmarkStart w:id="752" w:name="_Toc11837"/>
      <w:bookmarkStart w:id="753" w:name="_Toc8198"/>
      <w:bookmarkStart w:id="754" w:name="_Toc11764"/>
      <w:bookmarkStart w:id="755" w:name="_Toc20555"/>
      <w:bookmarkStart w:id="756" w:name="_Toc21709"/>
      <w:bookmarkStart w:id="757" w:name="_Toc22832"/>
      <w:bookmarkStart w:id="758" w:name="_Toc25013"/>
      <w:bookmarkStart w:id="759" w:name="_Toc20594"/>
      <w:bookmarkStart w:id="760" w:name="_Toc19669"/>
      <w:bookmarkStart w:id="761" w:name="_Toc3246"/>
      <w:bookmarkStart w:id="762" w:name="_Toc24675"/>
      <w:bookmarkStart w:id="763" w:name="_Toc19921"/>
      <w:bookmarkStart w:id="764" w:name="_Toc22104"/>
      <w:bookmarkStart w:id="765" w:name="_Toc13110"/>
      <w:r>
        <w:rPr>
          <w:rFonts w:hint="eastAsia" w:ascii="楷体" w:hAnsi="楷体" w:eastAsia="楷体" w:cs="楷体"/>
          <w:sz w:val="32"/>
          <w:szCs w:val="32"/>
        </w:rPr>
        <w:t>（一）发展数字产业化，壮大核心产业规模</w:t>
      </w:r>
      <w:bookmarkEnd w:id="743"/>
    </w:p>
    <w:p>
      <w:pPr>
        <w:keepNext w:val="0"/>
        <w:keepLines w:val="0"/>
        <w:pageBreakBefore w:val="0"/>
        <w:kinsoku/>
        <w:wordWrap/>
        <w:overflowPunct/>
        <w:topLinePunct w:val="0"/>
        <w:autoSpaceDE/>
        <w:autoSpaceDN/>
        <w:bidi w:val="0"/>
        <w:adjustRightInd/>
        <w:spacing w:before="190" w:beforeLines="50" w:after="190" w:afterLines="50" w:line="560" w:lineRule="exact"/>
        <w:ind w:firstLine="601" w:firstLineChars="0"/>
        <w:textAlignment w:val="auto"/>
        <w:outlineLvl w:val="2"/>
        <w:rPr>
          <w:rFonts w:hint="eastAsia" w:ascii="仿宋" w:hAnsi="仿宋" w:eastAsia="仿宋" w:cs="仿宋_GB2312"/>
          <w:b/>
          <w:bCs/>
          <w:kern w:val="0"/>
          <w:sz w:val="32"/>
          <w:szCs w:val="32"/>
        </w:rPr>
      </w:pPr>
      <w:bookmarkStart w:id="766" w:name="_Toc13130"/>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rPr>
        <w:t>.提升数字产业能级</w:t>
      </w:r>
      <w:bookmarkEnd w:id="766"/>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发展智能装备。</w:t>
      </w:r>
      <w:r>
        <w:rPr>
          <w:rFonts w:hint="eastAsia" w:ascii="仿宋" w:hAnsi="仿宋" w:eastAsia="仿宋" w:cs="仿宋"/>
          <w:sz w:val="32"/>
          <w:szCs w:val="32"/>
        </w:rPr>
        <w:t>重点发展以智能泵阀产业为主的系统流程装备，以调节阀为主的智能控制装置，以数码喷绘为主的大型打印设备，以教育教学培育为主的智慧教育装备，以制药领域为主的自动化生产线</w:t>
      </w:r>
      <w:r>
        <w:rPr>
          <w:rFonts w:hint="eastAsia" w:ascii="仿宋" w:hAnsi="仿宋" w:eastAsia="仿宋" w:cs="仿宋"/>
          <w:sz w:val="32"/>
          <w:szCs w:val="32"/>
          <w:lang w:eastAsia="zh-CN"/>
        </w:rPr>
        <w:t>，</w:t>
      </w:r>
      <w:r>
        <w:rPr>
          <w:rFonts w:hint="eastAsia" w:ascii="仿宋" w:hAnsi="仿宋" w:eastAsia="仿宋" w:cs="仿宋"/>
          <w:sz w:val="32"/>
          <w:szCs w:val="32"/>
        </w:rPr>
        <w:t>以工业机器人为主的自动化设备，以鞋服制造为主的自动裁床、自动缝纫设备</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发展特色物联网。</w:t>
      </w:r>
      <w:r>
        <w:rPr>
          <w:rFonts w:hint="eastAsia" w:ascii="仿宋" w:hAnsi="仿宋" w:eastAsia="仿宋" w:cs="仿宋"/>
          <w:sz w:val="32"/>
          <w:szCs w:val="32"/>
        </w:rPr>
        <w:t>聚焦能源和包装两大细分领域，培育融合型新业态新模式。发展新能源能量采集及储能技术和设备，围绕充电桩产业的主导产品及配套原材料、辅料和零部件等产品，发展节能与新能源汽车充电桩关键零部件及配套产品。发展可循环快递包装材料、包装电子标签、安全封条等，在智能仓储、智能园区、智能配送等领域提供智能物联产品。</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发展专用电子元器件和芯片。</w:t>
      </w:r>
      <w:r>
        <w:rPr>
          <w:rFonts w:hint="eastAsia" w:ascii="仿宋" w:hAnsi="仿宋" w:eastAsia="仿宋" w:cs="仿宋"/>
          <w:sz w:val="32"/>
          <w:szCs w:val="32"/>
        </w:rPr>
        <w:t>加快智能高低压开关设备、智能电网调度技术支持系统、智能化变电站设备、智能电表和智能配电设备</w:t>
      </w:r>
      <w:r>
        <w:rPr>
          <w:rFonts w:hint="eastAsia" w:ascii="仿宋" w:hAnsi="仿宋" w:eastAsia="仿宋" w:cs="仿宋"/>
          <w:sz w:val="32"/>
          <w:szCs w:val="32"/>
          <w:lang w:eastAsia="zh-CN"/>
        </w:rPr>
        <w:t>，</w:t>
      </w:r>
      <w:r>
        <w:rPr>
          <w:rFonts w:hint="eastAsia" w:ascii="仿宋" w:hAnsi="仿宋" w:eastAsia="仿宋" w:cs="仿宋"/>
          <w:sz w:val="32"/>
          <w:szCs w:val="32"/>
        </w:rPr>
        <w:t>重点拓展智能电气和智能电网领域的关键基础电子元器件</w:t>
      </w:r>
      <w:r>
        <w:rPr>
          <w:rFonts w:hint="eastAsia" w:ascii="仿宋" w:hAnsi="仿宋" w:eastAsia="仿宋" w:cs="仿宋"/>
          <w:sz w:val="32"/>
          <w:szCs w:val="32"/>
          <w:lang w:eastAsia="zh-CN"/>
        </w:rPr>
        <w:t>。</w:t>
      </w:r>
      <w:r>
        <w:rPr>
          <w:rFonts w:hint="eastAsia" w:ascii="仿宋" w:hAnsi="仿宋" w:eastAsia="仿宋" w:cs="仿宋"/>
          <w:sz w:val="32"/>
          <w:szCs w:val="32"/>
        </w:rPr>
        <w:t>引入先进芯片加工生产工艺，鼓励发展芯片封装与测试，支持发展电气设备和控制开关等领域的电路板、通讯模块、集成模组制造，打造成温州重要芯片生产基地。</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发展软件和信息技术服务业。</w:t>
      </w:r>
      <w:r>
        <w:rPr>
          <w:rFonts w:hint="eastAsia" w:ascii="仿宋" w:hAnsi="仿宋" w:eastAsia="仿宋" w:cs="仿宋"/>
          <w:sz w:val="32"/>
          <w:szCs w:val="32"/>
        </w:rPr>
        <w:t>以服务本地泵阀、鞋服、教玩具等产业智能化改造为重点，开发嵌入式系统、综合集成管理系统、工业控制系统和工业APP等软件。积极培育工业互联网服务商和智慧物流平台服务商。积极培育以数据存储、云计算、大数据为主的新一代信息技术，招引一批工业网络建设、云服务、数据应用、人工智能应用等数字化服务企业。</w:t>
      </w:r>
    </w:p>
    <w:p>
      <w:pPr>
        <w:keepNext w:val="0"/>
        <w:keepLines w:val="0"/>
        <w:pageBreakBefore w:val="0"/>
        <w:widowControl w:val="0"/>
        <w:kinsoku/>
        <w:wordWrap/>
        <w:overflowPunct/>
        <w:topLinePunct w:val="0"/>
        <w:autoSpaceDE/>
        <w:autoSpaceDN/>
        <w:bidi w:val="0"/>
        <w:adjustRightInd/>
        <w:snapToGrid/>
        <w:spacing w:before="190" w:beforeLines="50" w:after="190" w:afterLines="50" w:line="560" w:lineRule="exact"/>
        <w:ind w:left="0" w:leftChars="0" w:firstLine="643" w:firstLineChars="200"/>
        <w:textAlignment w:val="auto"/>
        <w:outlineLvl w:val="2"/>
        <w:rPr>
          <w:rFonts w:hint="eastAsia" w:ascii="仿宋" w:hAnsi="仿宋" w:eastAsia="仿宋" w:cs="仿宋_GB2312"/>
          <w:b/>
          <w:bCs/>
          <w:kern w:val="0"/>
          <w:sz w:val="32"/>
          <w:szCs w:val="32"/>
        </w:rPr>
      </w:pPr>
      <w:bookmarkStart w:id="767" w:name="_Toc8126"/>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rPr>
        <w:t>.增强科技创新能力</w:t>
      </w:r>
      <w:bookmarkEnd w:id="767"/>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lang w:eastAsia="zh-CN"/>
        </w:rPr>
      </w:pPr>
      <w:r>
        <w:rPr>
          <w:rFonts w:hint="eastAsia" w:ascii="仿宋" w:hAnsi="仿宋" w:eastAsia="仿宋" w:cs="仿宋"/>
          <w:b/>
          <w:bCs/>
          <w:sz w:val="32"/>
          <w:szCs w:val="32"/>
        </w:rPr>
        <w:t>（1）打好关键核心技术攻坚战。</w:t>
      </w:r>
      <w:r>
        <w:rPr>
          <w:rFonts w:hint="eastAsia" w:ascii="仿宋" w:hAnsi="仿宋" w:eastAsia="仿宋" w:cs="仿宋"/>
          <w:sz w:val="32"/>
          <w:szCs w:val="32"/>
        </w:rPr>
        <w:t>围绕物联网、高端成套装备、智能专用装备、专用电子元器件、芯片等重点领域开展技术攻关，全面梳理现有产业链在关键环节和核心技术</w:t>
      </w:r>
      <w:r>
        <w:rPr>
          <w:rFonts w:hint="eastAsia" w:ascii="仿宋" w:hAnsi="仿宋" w:eastAsia="仿宋" w:cs="仿宋"/>
          <w:sz w:val="32"/>
          <w:szCs w:val="32"/>
          <w:lang w:val="en-US" w:eastAsia="zh-CN"/>
        </w:rPr>
        <w:t>方面</w:t>
      </w:r>
      <w:r>
        <w:rPr>
          <w:rFonts w:hint="eastAsia" w:ascii="仿宋" w:hAnsi="仿宋" w:eastAsia="仿宋" w:cs="仿宋"/>
          <w:sz w:val="32"/>
          <w:szCs w:val="32"/>
        </w:rPr>
        <w:t>短板，滚动编制关键核心技术攻关清单，促进材料、结构、功能一体化的高性能设计制造与集成应用</w:t>
      </w:r>
      <w:r>
        <w:rPr>
          <w:rFonts w:hint="eastAsia" w:ascii="仿宋" w:hAnsi="仿宋" w:eastAsia="仿宋" w:cs="仿宋"/>
          <w:sz w:val="32"/>
          <w:szCs w:val="32"/>
          <w:lang w:eastAsia="zh-CN"/>
        </w:rPr>
        <w:t>，在基础制造工艺、精密加工、数字化制造技术等领域打造安全可控的核心技术体系。</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构建高能级科创载体。</w:t>
      </w:r>
      <w:r>
        <w:rPr>
          <w:rFonts w:hint="eastAsia" w:ascii="仿宋" w:hAnsi="仿宋" w:eastAsia="仿宋" w:cs="仿宋"/>
          <w:b w:val="0"/>
          <w:bCs w:val="0"/>
          <w:sz w:val="32"/>
          <w:szCs w:val="32"/>
        </w:rPr>
        <w:t>全力建设瓯江北岸科创走廊</w:t>
      </w:r>
      <w:r>
        <w:rPr>
          <w:rFonts w:hint="eastAsia" w:ascii="仿宋" w:hAnsi="仿宋" w:eastAsia="仿宋" w:cs="仿宋"/>
          <w:b w:val="0"/>
          <w:bCs w:val="0"/>
          <w:sz w:val="32"/>
          <w:szCs w:val="32"/>
          <w:lang w:eastAsia="zh-CN"/>
        </w:rPr>
        <w:t>，打造全县创新驱动发展战略核心载体。</w:t>
      </w:r>
      <w:r>
        <w:rPr>
          <w:rFonts w:hint="eastAsia" w:ascii="仿宋" w:hAnsi="仿宋" w:eastAsia="仿宋" w:cs="仿宋"/>
          <w:sz w:val="32"/>
          <w:szCs w:val="32"/>
          <w:lang w:val="en-US" w:eastAsia="zh-CN"/>
        </w:rPr>
        <w:t>加强产学研合作，</w:t>
      </w:r>
      <w:r>
        <w:rPr>
          <w:rFonts w:hint="eastAsia" w:ascii="仿宋" w:hAnsi="仿宋" w:eastAsia="仿宋" w:cs="仿宋"/>
          <w:sz w:val="32"/>
          <w:szCs w:val="32"/>
        </w:rPr>
        <w:t>推进杭州电子科技大学永嘉数字经济研究院建设</w:t>
      </w:r>
      <w:r>
        <w:rPr>
          <w:rFonts w:hint="eastAsia" w:ascii="仿宋" w:hAnsi="仿宋" w:eastAsia="仿宋" w:cs="仿宋"/>
          <w:sz w:val="32"/>
          <w:szCs w:val="32"/>
          <w:lang w:eastAsia="zh-CN"/>
        </w:rPr>
        <w:t>，</w:t>
      </w:r>
      <w:r>
        <w:rPr>
          <w:rFonts w:hint="eastAsia" w:ascii="仿宋" w:hAnsi="仿宋" w:eastAsia="仿宋" w:cs="仿宋"/>
          <w:sz w:val="32"/>
          <w:szCs w:val="32"/>
        </w:rPr>
        <w:t>引进大院名校来永嘉共建分校（分所、分院）、产业技术研究院、研发基地（中心）、技术转移机构等创新载体，积极承担国家、省、市重大创新项目，突破一批关键核心技术</w:t>
      </w:r>
      <w:r>
        <w:rPr>
          <w:rFonts w:hint="eastAsia" w:ascii="仿宋" w:hAnsi="仿宋" w:eastAsia="仿宋" w:cs="仿宋"/>
          <w:sz w:val="32"/>
          <w:szCs w:val="32"/>
          <w:lang w:eastAsia="zh-CN"/>
        </w:rPr>
        <w:t>。</w:t>
      </w:r>
      <w:r>
        <w:rPr>
          <w:rFonts w:hint="eastAsia" w:ascii="仿宋" w:hAnsi="仿宋" w:eastAsia="仿宋" w:cs="仿宋"/>
          <w:sz w:val="32"/>
          <w:szCs w:val="32"/>
        </w:rPr>
        <w:t>推动企业建设技术创新中心、工程研究中心、研发中心、企业研究院等创新平台，实现重点数字经济企业研发机构全覆盖。</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打造创新人才集聚高地。</w:t>
      </w:r>
      <w:r>
        <w:rPr>
          <w:rFonts w:hint="eastAsia" w:ascii="仿宋" w:hAnsi="仿宋" w:eastAsia="仿宋" w:cs="仿宋"/>
          <w:sz w:val="32"/>
          <w:szCs w:val="32"/>
          <w:lang w:val="en-US" w:eastAsia="zh-CN"/>
        </w:rPr>
        <w:t>加大数字人才引进力度，</w:t>
      </w:r>
      <w:r>
        <w:rPr>
          <w:rFonts w:hint="eastAsia" w:ascii="仿宋" w:hAnsi="仿宋" w:eastAsia="仿宋" w:cs="仿宋"/>
          <w:sz w:val="32"/>
          <w:szCs w:val="32"/>
        </w:rPr>
        <w:t>深入实施“全球精英引进计划”“高层次人才特殊支持计划”“鲲鹏行动”人才计划等重大人才工程，鼓励高层次人才带项目、带技术在永嘉创业创新。</w:t>
      </w:r>
      <w:r>
        <w:rPr>
          <w:rFonts w:hint="eastAsia" w:ascii="仿宋" w:hAnsi="仿宋" w:eastAsia="仿宋" w:cs="仿宋"/>
          <w:sz w:val="32"/>
          <w:szCs w:val="32"/>
          <w:lang w:val="en-US" w:eastAsia="zh-CN"/>
        </w:rPr>
        <w:t>完善数字人才培育机制，</w:t>
      </w:r>
      <w:r>
        <w:rPr>
          <w:rFonts w:hint="eastAsia" w:ascii="仿宋" w:hAnsi="仿宋" w:eastAsia="仿宋" w:cs="仿宋"/>
          <w:sz w:val="32"/>
          <w:szCs w:val="32"/>
        </w:rPr>
        <w:t>充分利用温州大学等在温高校资源，加强校企合作，加快培养一批复合型、实操型人才。优化人才发展环境，推进人才管理改革，实行顶尖人才和领军人才薪酬待遇“一人一策”</w:t>
      </w:r>
      <w:r>
        <w:rPr>
          <w:rFonts w:hint="eastAsia" w:ascii="仿宋" w:hAnsi="仿宋" w:eastAsia="仿宋" w:cs="仿宋"/>
          <w:sz w:val="32"/>
          <w:szCs w:val="32"/>
          <w:lang w:eastAsia="zh-CN"/>
        </w:rPr>
        <w:t>；</w:t>
      </w:r>
      <w:r>
        <w:rPr>
          <w:rFonts w:hint="eastAsia" w:ascii="仿宋" w:hAnsi="仿宋" w:eastAsia="仿宋" w:cs="仿宋"/>
          <w:sz w:val="32"/>
          <w:szCs w:val="32"/>
        </w:rPr>
        <w:t>着力解决人才住房、医疗保障、子女入学、配偶就业、户籍迁移等问题。</w:t>
      </w:r>
    </w:p>
    <w:p>
      <w:pPr>
        <w:keepNext w:val="0"/>
        <w:keepLines w:val="0"/>
        <w:pageBreakBefore w:val="0"/>
        <w:kinsoku/>
        <w:wordWrap/>
        <w:overflowPunct/>
        <w:topLinePunct w:val="0"/>
        <w:autoSpaceDE/>
        <w:autoSpaceDN/>
        <w:bidi w:val="0"/>
        <w:adjustRightIn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探索开放共享创新机制。</w:t>
      </w:r>
      <w:r>
        <w:rPr>
          <w:rFonts w:hint="eastAsia" w:ascii="仿宋" w:hAnsi="仿宋" w:eastAsia="仿宋" w:cs="仿宋"/>
          <w:sz w:val="32"/>
          <w:szCs w:val="32"/>
        </w:rPr>
        <w:t>建立科技创新容错机制，对新技术新产业新业态新模式实行包容审慎监管，营造鼓励企业家创新的氛围。建立政府主导、全社会共同参与的科普工作体系。深入实施知识产权战略，加大知识产权保护力度。推进区域协同创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抓住长三角一体化和“一江两岸”协同发展战略机遇，充分利用周边城市创新资源，承接溢出效益。</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keepNext w:val="0"/>
              <w:keepLines w:val="0"/>
              <w:pageBreakBefore w:val="0"/>
              <w:widowControl w:val="0"/>
              <w:kinsoku/>
              <w:wordWrap/>
              <w:overflowPunct/>
              <w:topLinePunct w:val="0"/>
              <w:autoSpaceDE/>
              <w:autoSpaceDN/>
              <w:bidi w:val="0"/>
              <w:adjustRightInd/>
              <w:snapToGrid/>
              <w:spacing w:before="192" w:beforeLines="50" w:after="192" w:afterLines="50" w:line="560" w:lineRule="exact"/>
              <w:ind w:firstLine="0" w:firstLineChars="0"/>
              <w:jc w:val="center"/>
              <w:textAlignment w:val="auto"/>
              <w:rPr>
                <w:rFonts w:ascii="黑体" w:hAnsi="黑体" w:eastAsia="黑体" w:cs="黑体"/>
                <w:sz w:val="28"/>
                <w:szCs w:val="28"/>
              </w:rPr>
            </w:pPr>
            <w:bookmarkStart w:id="768" w:name="_Toc27689"/>
            <w:bookmarkStart w:id="769" w:name="_Toc18636"/>
            <w:bookmarkStart w:id="770" w:name="_Toc4487"/>
            <w:bookmarkStart w:id="771" w:name="_Toc32166"/>
            <w:bookmarkStart w:id="772" w:name="_Toc12402"/>
            <w:bookmarkStart w:id="773" w:name="_Toc15948"/>
            <w:bookmarkStart w:id="774" w:name="_Toc15810"/>
            <w:bookmarkStart w:id="775" w:name="_Toc30016"/>
            <w:bookmarkStart w:id="776" w:name="_Toc30645"/>
            <w:bookmarkStart w:id="777" w:name="_Toc17178"/>
            <w:bookmarkStart w:id="778" w:name="_Toc14345"/>
            <w:bookmarkStart w:id="779" w:name="_Toc23850"/>
            <w:bookmarkStart w:id="780" w:name="_Toc13177"/>
            <w:bookmarkStart w:id="781" w:name="_Toc23442"/>
            <w:bookmarkStart w:id="782" w:name="_Toc29593"/>
            <w:bookmarkStart w:id="783" w:name="_Toc9422"/>
            <w:bookmarkStart w:id="784" w:name="_Toc12836"/>
            <w:bookmarkStart w:id="785" w:name="_Toc27430"/>
            <w:bookmarkStart w:id="786" w:name="_Toc2720"/>
            <w:bookmarkStart w:id="787" w:name="_Toc12868"/>
            <w:bookmarkStart w:id="788" w:name="_Toc25872"/>
            <w:bookmarkStart w:id="789" w:name="_Toc19979"/>
            <w:bookmarkStart w:id="790" w:name="_Toc17163"/>
            <w:bookmarkStart w:id="791" w:name="_Toc3538"/>
            <w:r>
              <w:rPr>
                <w:rFonts w:hint="eastAsia" w:ascii="黑体" w:hAnsi="黑体" w:eastAsia="黑体" w:cs="黑体"/>
                <w:sz w:val="28"/>
                <w:szCs w:val="28"/>
              </w:rPr>
              <w:t>专栏</w:t>
            </w:r>
            <w:r>
              <w:rPr>
                <w:rFonts w:hint="eastAsia" w:ascii="黑体" w:hAnsi="黑体" w:eastAsia="黑体" w:cs="黑体"/>
                <w:sz w:val="28"/>
                <w:szCs w:val="28"/>
                <w:lang w:val="en-US" w:eastAsia="zh-CN"/>
              </w:rPr>
              <w:t>1</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构建高能级数字</w:t>
            </w:r>
            <w:r>
              <w:rPr>
                <w:rFonts w:hint="eastAsia" w:ascii="黑体" w:hAnsi="黑体" w:eastAsia="黑体" w:cs="黑体"/>
                <w:sz w:val="28"/>
                <w:szCs w:val="28"/>
              </w:rPr>
              <w:t>创新</w:t>
            </w:r>
            <w:r>
              <w:rPr>
                <w:rFonts w:hint="eastAsia" w:ascii="黑体" w:hAnsi="黑体" w:eastAsia="黑体" w:cs="黑体"/>
                <w:sz w:val="28"/>
                <w:szCs w:val="28"/>
                <w:lang w:val="en-US" w:eastAsia="zh-CN"/>
              </w:rPr>
              <w:t>体系</w:t>
            </w:r>
          </w:p>
          <w:p>
            <w:pPr>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sz w:val="28"/>
                <w:szCs w:val="28"/>
              </w:rPr>
            </w:pPr>
            <w:r>
              <w:rPr>
                <w:rFonts w:hint="eastAsia" w:ascii="仿宋" w:hAnsi="仿宋" w:eastAsia="仿宋" w:cs="仿宋"/>
                <w:b/>
                <w:bCs/>
                <w:sz w:val="28"/>
                <w:szCs w:val="28"/>
              </w:rPr>
              <w:t>瓯江北岸科创走廊。</w:t>
            </w:r>
            <w:r>
              <w:rPr>
                <w:rFonts w:hint="eastAsia" w:ascii="仿宋" w:hAnsi="仿宋" w:eastAsia="仿宋" w:cs="仿宋"/>
                <w:sz w:val="28"/>
                <w:szCs w:val="28"/>
              </w:rPr>
              <w:t>全力建设瓯江北岸科创走廊，构建“一核引领、五平台联动、多点支撑”的协同创新格局，提升科创走廊创新能级，积极承接杭州城西科创走廊、温州环大罗山科创走廊先进创新要素的溢出效应，打造全县创新驱动发展战略的核心载体。</w:t>
            </w:r>
          </w:p>
          <w:p>
            <w:pPr>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b/>
                <w:bCs/>
                <w:sz w:val="28"/>
                <w:szCs w:val="28"/>
              </w:rPr>
            </w:pPr>
            <w:r>
              <w:rPr>
                <w:rFonts w:hint="eastAsia" w:ascii="仿宋" w:hAnsi="仿宋" w:eastAsia="仿宋" w:cs="仿宋"/>
                <w:b/>
                <w:bCs/>
                <w:sz w:val="28"/>
                <w:szCs w:val="28"/>
              </w:rPr>
              <w:t>“4+X”产学研合作平台。</w:t>
            </w:r>
            <w:r>
              <w:rPr>
                <w:rFonts w:hint="eastAsia" w:ascii="仿宋" w:hAnsi="仿宋" w:eastAsia="仿宋" w:cs="仿宋"/>
                <w:sz w:val="28"/>
                <w:szCs w:val="28"/>
              </w:rPr>
              <w:t>深化政产学研合作，持续提升温州系统流程装备科学研究、兰州理工大学温州泵阀工程研究院、兰州理工大学温州研究生分院、杭电永嘉教玩具创新院四大平台建设，围绕泵阀、智能装备等产业，谋划引进一批研发机构和创新中心。</w:t>
            </w:r>
          </w:p>
          <w:p>
            <w:pPr>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科创“飞地”。</w:t>
            </w:r>
            <w:r>
              <w:rPr>
                <w:rFonts w:hint="eastAsia" w:ascii="仿宋" w:hAnsi="仿宋" w:eastAsia="仿宋" w:cs="仿宋"/>
                <w:sz w:val="28"/>
                <w:szCs w:val="28"/>
              </w:rPr>
              <w:t>加快“飞地”建设，积极参与长三角科技创新共同体建设，大力推进上海嘉定科创园“永嘉分园”建设，深度承接G60科创走廊、杭州城西科创大走廊辐射，在杭州建立数字经济“飞地”。鼓励企业在上海、深圳、杭州等地布局“人才飞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科创飞地</w:t>
            </w:r>
            <w:r>
              <w:rPr>
                <w:rFonts w:hint="eastAsia" w:ascii="仿宋" w:hAnsi="仿宋" w:eastAsia="仿宋" w:cs="仿宋"/>
                <w:sz w:val="28"/>
                <w:szCs w:val="28"/>
                <w:lang w:eastAsia="zh-CN"/>
              </w:rPr>
              <w:t>”</w:t>
            </w:r>
            <w:r>
              <w:rPr>
                <w:rFonts w:hint="eastAsia" w:ascii="仿宋" w:hAnsi="仿宋" w:eastAsia="仿宋" w:cs="仿宋"/>
                <w:sz w:val="28"/>
                <w:szCs w:val="28"/>
              </w:rPr>
              <w:t>，设立联合研发中心、创新基地</w:t>
            </w:r>
            <w:r>
              <w:rPr>
                <w:rFonts w:hint="eastAsia" w:ascii="仿宋" w:hAnsi="仿宋" w:eastAsia="仿宋" w:cs="仿宋"/>
                <w:sz w:val="28"/>
                <w:szCs w:val="28"/>
                <w:lang w:eastAsia="zh-CN"/>
              </w:rPr>
              <w:t>，</w:t>
            </w:r>
            <w:r>
              <w:rPr>
                <w:rFonts w:hint="eastAsia" w:ascii="仿宋" w:hAnsi="仿宋" w:eastAsia="仿宋" w:cs="仿宋"/>
                <w:sz w:val="28"/>
                <w:szCs w:val="28"/>
              </w:rPr>
              <w:t>构建联动创新飞地体系。</w:t>
            </w:r>
          </w:p>
        </w:tc>
      </w:t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tbl>
    <w:p>
      <w:pPr>
        <w:keepNext w:val="0"/>
        <w:keepLines w:val="0"/>
        <w:pageBreakBefore w:val="0"/>
        <w:widowControl w:val="0"/>
        <w:kinsoku/>
        <w:wordWrap/>
        <w:overflowPunct/>
        <w:topLinePunct w:val="0"/>
        <w:autoSpaceDE/>
        <w:autoSpaceDN/>
        <w:bidi w:val="0"/>
        <w:adjustRightInd/>
        <w:snapToGrid/>
        <w:spacing w:before="190" w:beforeLines="50" w:after="190" w:afterLines="50" w:line="560" w:lineRule="exact"/>
        <w:ind w:left="0" w:leftChars="0" w:firstLine="643" w:firstLineChars="200"/>
        <w:textAlignment w:val="auto"/>
        <w:outlineLvl w:val="2"/>
        <w:rPr>
          <w:rFonts w:hint="eastAsia" w:ascii="仿宋" w:hAnsi="仿宋" w:eastAsia="仿宋" w:cs="仿宋_GB2312"/>
          <w:b/>
          <w:bCs/>
          <w:kern w:val="0"/>
          <w:sz w:val="32"/>
          <w:szCs w:val="32"/>
        </w:rPr>
      </w:pPr>
      <w:bookmarkStart w:id="792" w:name="_Toc16740"/>
      <w:r>
        <w:rPr>
          <w:rFonts w:hint="eastAsia" w:ascii="仿宋" w:hAnsi="仿宋" w:eastAsia="仿宋" w:cs="仿宋_GB2312"/>
          <w:b/>
          <w:bCs/>
          <w:kern w:val="0"/>
          <w:sz w:val="32"/>
          <w:szCs w:val="32"/>
        </w:rPr>
        <w:t>3.建设专业数字园区</w:t>
      </w:r>
      <w:bookmarkEnd w:id="792"/>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rPr>
        <w:t>（1）瓯北智造引领示范区。</w:t>
      </w:r>
      <w:r>
        <w:rPr>
          <w:rFonts w:hint="eastAsia" w:ascii="仿宋" w:hAnsi="仿宋" w:eastAsia="仿宋" w:cs="仿宋"/>
          <w:sz w:val="32"/>
          <w:szCs w:val="32"/>
        </w:rPr>
        <w:t>利用产业优势，加速人工智能、物联网、大数据、5G等新技术应用，鼓励发展智能泵阀、智能装备等产业。以调节阀细分领域为重点，打造成智能装备生产基地；</w:t>
      </w:r>
      <w:r>
        <w:rPr>
          <w:rFonts w:hint="eastAsia" w:ascii="仿宋" w:hAnsi="仿宋" w:eastAsia="仿宋" w:cs="仿宋"/>
          <w:sz w:val="32"/>
          <w:szCs w:val="32"/>
          <w:lang w:val="en-US" w:eastAsia="zh-CN"/>
        </w:rPr>
        <w:t>大力</w:t>
      </w:r>
      <w:r>
        <w:rPr>
          <w:rFonts w:hint="eastAsia" w:ascii="仿宋" w:hAnsi="仿宋" w:eastAsia="仿宋" w:cs="仿宋"/>
          <w:sz w:val="32"/>
          <w:szCs w:val="32"/>
        </w:rPr>
        <w:t>发展工业机器人、智能制造服务、智能装备工业软件等智能服务。</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rPr>
        <w:t>（2）三江数字经济产业园。</w:t>
      </w:r>
      <w:r>
        <w:rPr>
          <w:rFonts w:hint="eastAsia" w:ascii="仿宋" w:hAnsi="仿宋" w:eastAsia="仿宋" w:cs="仿宋"/>
          <w:sz w:val="32"/>
          <w:szCs w:val="32"/>
        </w:rPr>
        <w:t>利用区位和商务优势，打造电商直播、数字经济总部等功能为主要特色的浙南数字经济产业高地。大力发展数字经济服务业，重点引进工业互联网、应用软件开发、数据存储、云服务、跨境电商、短视频直播等数字经济产业，带动数字经济服务企业在永嘉集聚发展。以淘宝生态直播基地打造温州直播电商中心。</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乌牛智能物联小镇。</w:t>
      </w:r>
      <w:r>
        <w:rPr>
          <w:rFonts w:hint="eastAsia" w:ascii="仿宋" w:hAnsi="仿宋" w:eastAsia="仿宋" w:cs="仿宋"/>
          <w:sz w:val="32"/>
          <w:szCs w:val="32"/>
        </w:rPr>
        <w:t>打造集“可编码循环包装”智造、研发、销售，以及可追溯物流于一体的物联绿色包装基地；</w:t>
      </w:r>
      <w:r>
        <w:rPr>
          <w:rFonts w:hint="eastAsia" w:ascii="仿宋" w:hAnsi="仿宋" w:eastAsia="仿宋" w:cs="仿宋"/>
          <w:sz w:val="32"/>
          <w:szCs w:val="32"/>
          <w:lang w:val="en-US" w:eastAsia="zh-CN"/>
        </w:rPr>
        <w:t>支持</w:t>
      </w:r>
      <w:r>
        <w:rPr>
          <w:rFonts w:hint="eastAsia" w:ascii="仿宋" w:hAnsi="仿宋" w:eastAsia="仿宋" w:cs="仿宋"/>
          <w:sz w:val="32"/>
          <w:szCs w:val="32"/>
        </w:rPr>
        <w:t>建立智慧绿色包装大数据平台。以芯片检测和数字化测试设备为突破口，瞄准专用芯片制造、封装、测试和配套产业等方向，积极培育网络通信、工业控制、应用电子、智能终端等领域的新型芯片产业。</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rPr>
        <w:t>（4）黄田智慧物流基地。</w:t>
      </w:r>
      <w:r>
        <w:rPr>
          <w:rFonts w:hint="eastAsia" w:ascii="仿宋" w:hAnsi="仿宋" w:eastAsia="仿宋" w:cs="仿宋"/>
          <w:sz w:val="32"/>
          <w:szCs w:val="32"/>
        </w:rPr>
        <w:t>利用交通优势，集聚永嘉、温州电商企业，打造浙南智慧物流电商集聚中心。加大支持物流运输与配送智能化技术研发和应用，加快建立包括电子数据交换、电子订货系统、全球定位系统、手持射频无线终端、条码技术等现代信息技术的智慧物流技术体系。</w:t>
      </w:r>
    </w:p>
    <w:p>
      <w:pPr>
        <w:keepNext w:val="0"/>
        <w:keepLines w:val="0"/>
        <w:pageBreakBefore w:val="0"/>
        <w:kinsoku/>
        <w:wordWrap/>
        <w:overflowPunct/>
        <w:topLinePunct w:val="0"/>
        <w:autoSpaceDE/>
        <w:autoSpaceDN/>
        <w:bidi w:val="0"/>
        <w:adjustRightInd/>
        <w:spacing w:line="560" w:lineRule="exact"/>
        <w:textAlignment w:val="auto"/>
        <w:rPr>
          <w:rFonts w:hint="eastAsia"/>
          <w:color w:val="auto"/>
          <w:sz w:val="32"/>
          <w:szCs w:val="32"/>
          <w:highlight w:val="none"/>
        </w:rPr>
      </w:pPr>
      <w:r>
        <w:rPr>
          <w:rFonts w:hint="eastAsia"/>
          <w:b/>
          <w:bCs/>
          <w:sz w:val="32"/>
          <w:szCs w:val="32"/>
          <w:lang w:val="en-US" w:eastAsia="zh-CN"/>
        </w:rPr>
        <w:t>（5）</w:t>
      </w:r>
      <w:r>
        <w:rPr>
          <w:rFonts w:hint="eastAsia"/>
          <w:b/>
          <w:bCs/>
          <w:sz w:val="32"/>
          <w:szCs w:val="32"/>
        </w:rPr>
        <w:t>桥下</w:t>
      </w:r>
      <w:r>
        <w:rPr>
          <w:rFonts w:hint="eastAsia"/>
          <w:b/>
          <w:bCs/>
          <w:sz w:val="32"/>
          <w:szCs w:val="32"/>
          <w:lang w:val="en-US" w:eastAsia="zh-CN"/>
        </w:rPr>
        <w:t>桥头产业转型区</w:t>
      </w:r>
      <w:r>
        <w:rPr>
          <w:rFonts w:hint="eastAsia"/>
          <w:b/>
          <w:bCs/>
          <w:sz w:val="32"/>
          <w:szCs w:val="32"/>
        </w:rPr>
        <w:t>。</w:t>
      </w:r>
      <w:r>
        <w:rPr>
          <w:rFonts w:hint="eastAsia"/>
          <w:sz w:val="32"/>
          <w:szCs w:val="32"/>
          <w:lang w:val="en-US" w:eastAsia="zh-CN"/>
        </w:rPr>
        <w:t>桥下镇</w:t>
      </w:r>
      <w:r>
        <w:rPr>
          <w:rFonts w:hint="eastAsia"/>
          <w:sz w:val="32"/>
          <w:szCs w:val="32"/>
        </w:rPr>
        <w:t>打造教玩具“互联网+应用”示范基地，建设教玩具智能生产基地，</w:t>
      </w:r>
      <w:r>
        <w:rPr>
          <w:rFonts w:hint="eastAsia"/>
          <w:sz w:val="32"/>
          <w:szCs w:val="32"/>
          <w:lang w:val="en-US" w:eastAsia="zh-CN"/>
        </w:rPr>
        <w:t>鼓励</w:t>
      </w:r>
      <w:r>
        <w:rPr>
          <w:rFonts w:hint="eastAsia"/>
          <w:sz w:val="32"/>
          <w:szCs w:val="32"/>
        </w:rPr>
        <w:t>发展数字化、网络化、智能化的教玩具产品</w:t>
      </w:r>
      <w:r>
        <w:rPr>
          <w:rFonts w:hint="eastAsia"/>
          <w:sz w:val="32"/>
          <w:szCs w:val="32"/>
          <w:lang w:eastAsia="zh-CN"/>
        </w:rPr>
        <w:t>；</w:t>
      </w:r>
      <w:r>
        <w:rPr>
          <w:rFonts w:hint="eastAsia"/>
          <w:sz w:val="32"/>
          <w:szCs w:val="32"/>
        </w:rPr>
        <w:t>大力发展教玩具电子商务贸易，打造全国教玩具电子商务第一镇。桥头镇</w:t>
      </w:r>
      <w:r>
        <w:rPr>
          <w:rFonts w:hint="eastAsia"/>
          <w:sz w:val="32"/>
          <w:szCs w:val="32"/>
          <w:lang w:val="en-US" w:eastAsia="zh-CN"/>
        </w:rPr>
        <w:t>积极</w:t>
      </w:r>
      <w:r>
        <w:rPr>
          <w:rFonts w:hint="eastAsia"/>
          <w:sz w:val="32"/>
          <w:szCs w:val="32"/>
        </w:rPr>
        <w:t>推动纽扣拉链行业数字化转型，</w:t>
      </w:r>
      <w:r>
        <w:rPr>
          <w:rFonts w:hint="eastAsia"/>
          <w:sz w:val="32"/>
          <w:szCs w:val="32"/>
          <w:lang w:val="en-US" w:eastAsia="zh-CN"/>
        </w:rPr>
        <w:t>推进</w:t>
      </w:r>
      <w:r>
        <w:rPr>
          <w:rFonts w:hint="eastAsia"/>
          <w:sz w:val="32"/>
          <w:szCs w:val="32"/>
        </w:rPr>
        <w:t>钮扣拉链综合体</w:t>
      </w:r>
      <w:r>
        <w:rPr>
          <w:rFonts w:hint="eastAsia"/>
          <w:sz w:val="32"/>
          <w:szCs w:val="32"/>
          <w:lang w:val="en-US" w:eastAsia="zh-CN"/>
        </w:rPr>
        <w:t>建设</w:t>
      </w:r>
      <w:r>
        <w:rPr>
          <w:rFonts w:hint="eastAsia"/>
          <w:sz w:val="32"/>
          <w:szCs w:val="32"/>
        </w:rPr>
        <w:t>，</w:t>
      </w:r>
      <w:r>
        <w:rPr>
          <w:rFonts w:hint="eastAsia"/>
          <w:sz w:val="32"/>
          <w:szCs w:val="32"/>
          <w:lang w:val="en-US" w:eastAsia="zh-CN"/>
        </w:rPr>
        <w:t>打造</w:t>
      </w:r>
      <w:r>
        <w:rPr>
          <w:rFonts w:hint="eastAsia"/>
          <w:color w:val="auto"/>
          <w:sz w:val="32"/>
          <w:szCs w:val="32"/>
          <w:highlight w:val="none"/>
        </w:rPr>
        <w:t>桥头</w:t>
      </w:r>
      <w:r>
        <w:rPr>
          <w:rFonts w:hint="eastAsia"/>
          <w:color w:val="auto"/>
          <w:sz w:val="32"/>
          <w:szCs w:val="32"/>
          <w:highlight w:val="none"/>
          <w:lang w:eastAsia="zh-CN"/>
        </w:rPr>
        <w:t>国际电商产业园</w:t>
      </w:r>
      <w:r>
        <w:rPr>
          <w:rFonts w:hint="eastAsia"/>
          <w:color w:val="auto"/>
          <w:sz w:val="32"/>
          <w:szCs w:val="32"/>
          <w:highlight w:val="none"/>
        </w:rPr>
        <w:t>。</w:t>
      </w:r>
    </w:p>
    <w:p>
      <w:pPr>
        <w:keepNext w:val="0"/>
        <w:keepLines w:val="0"/>
        <w:pageBreakBefore w:val="0"/>
        <w:kinsoku/>
        <w:wordWrap/>
        <w:overflowPunct/>
        <w:topLinePunct w:val="0"/>
        <w:autoSpaceDE/>
        <w:autoSpaceDN/>
        <w:bidi w:val="0"/>
        <w:adjustRightInd/>
        <w:spacing w:before="190" w:beforeLines="50" w:after="190" w:afterLines="50" w:line="560" w:lineRule="exact"/>
        <w:ind w:firstLine="601" w:firstLineChars="0"/>
        <w:textAlignment w:val="auto"/>
        <w:outlineLvl w:val="2"/>
        <w:rPr>
          <w:rFonts w:hint="eastAsia" w:ascii="仿宋" w:hAnsi="仿宋" w:eastAsia="仿宋" w:cs="仿宋_GB2312"/>
          <w:b/>
          <w:bCs/>
          <w:kern w:val="0"/>
          <w:sz w:val="32"/>
          <w:szCs w:val="32"/>
        </w:rPr>
      </w:pPr>
      <w:bookmarkStart w:id="793" w:name="_Toc6110"/>
      <w:r>
        <w:rPr>
          <w:rFonts w:hint="eastAsia" w:ascii="仿宋" w:hAnsi="仿宋" w:eastAsia="仿宋" w:cs="仿宋_GB2312"/>
          <w:b/>
          <w:bCs/>
          <w:kern w:val="0"/>
          <w:sz w:val="32"/>
          <w:szCs w:val="32"/>
        </w:rPr>
        <w:t>4.培育企业市场主体</w:t>
      </w:r>
      <w:bookmarkEnd w:id="793"/>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大力培育平台型企业。</w:t>
      </w:r>
      <w:r>
        <w:rPr>
          <w:rFonts w:hint="eastAsia" w:ascii="仿宋" w:hAnsi="仿宋" w:eastAsia="仿宋" w:cs="仿宋"/>
          <w:sz w:val="32"/>
          <w:szCs w:val="32"/>
        </w:rPr>
        <w:t>加大数字经济领军企业培育力度，引进一批资源配置能力强、核心竞争力强、市场占有率高的数字经济领域龙头企业，在永嘉设立区域性行政、营销、结算总部、创新中心，打造数字经济总部高地。</w:t>
      </w:r>
    </w:p>
    <w:p>
      <w:pPr>
        <w:pStyle w:val="27"/>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）构建企业梯次发展体系。</w:t>
      </w:r>
      <w:r>
        <w:rPr>
          <w:rFonts w:hint="eastAsia" w:ascii="仿宋" w:hAnsi="仿宋" w:eastAsia="仿宋" w:cs="仿宋"/>
          <w:sz w:val="32"/>
          <w:szCs w:val="32"/>
        </w:rPr>
        <w:t>深入实施“凤凰行动”“雄鹰行动”“雏鹰行动”、科技企业“双倍增”行动等，不断培育壮大优质数字经济企业群体。到2025年，数字经济核心产业亿元以上企业1</w:t>
      </w:r>
      <w:r>
        <w:rPr>
          <w:rFonts w:hint="eastAsia" w:ascii="仿宋" w:hAnsi="仿宋" w:eastAsia="仿宋" w:cs="仿宋"/>
          <w:sz w:val="32"/>
          <w:szCs w:val="32"/>
          <w:lang w:val="en-US" w:eastAsia="zh-CN"/>
        </w:rPr>
        <w:t>5</w:t>
      </w:r>
      <w:r>
        <w:rPr>
          <w:rFonts w:hint="eastAsia" w:ascii="仿宋" w:hAnsi="仿宋" w:eastAsia="仿宋" w:cs="仿宋"/>
          <w:sz w:val="32"/>
          <w:szCs w:val="32"/>
        </w:rPr>
        <w:t>家、上市企业</w:t>
      </w:r>
      <w:r>
        <w:rPr>
          <w:rFonts w:hint="eastAsia" w:ascii="仿宋" w:hAnsi="仿宋" w:eastAsia="仿宋" w:cs="仿宋"/>
          <w:sz w:val="32"/>
          <w:szCs w:val="32"/>
          <w:lang w:val="en-US" w:eastAsia="zh-CN"/>
        </w:rPr>
        <w:t>1</w:t>
      </w:r>
      <w:r>
        <w:rPr>
          <w:rFonts w:hint="eastAsia" w:ascii="仿宋" w:hAnsi="仿宋" w:eastAsia="仿宋" w:cs="仿宋"/>
          <w:sz w:val="32"/>
          <w:szCs w:val="32"/>
        </w:rPr>
        <w:t>家、国家高新技术企业</w:t>
      </w:r>
      <w:r>
        <w:rPr>
          <w:rFonts w:hint="eastAsia" w:ascii="仿宋" w:hAnsi="仿宋" w:eastAsia="仿宋" w:cs="仿宋"/>
          <w:sz w:val="32"/>
          <w:szCs w:val="32"/>
          <w:lang w:val="en-US" w:eastAsia="zh-CN"/>
        </w:rPr>
        <w:t>23</w:t>
      </w:r>
      <w:r>
        <w:rPr>
          <w:rFonts w:hint="eastAsia" w:ascii="仿宋" w:hAnsi="仿宋" w:eastAsia="仿宋" w:cs="仿宋"/>
          <w:sz w:val="32"/>
          <w:szCs w:val="32"/>
        </w:rPr>
        <w:t>家、科技型中小企</w:t>
      </w:r>
      <w:r>
        <w:rPr>
          <w:rFonts w:hint="eastAsia" w:ascii="仿宋" w:hAnsi="仿宋" w:eastAsia="仿宋" w:cs="仿宋"/>
          <w:sz w:val="32"/>
          <w:szCs w:val="32"/>
          <w:lang w:val="en-US" w:eastAsia="zh-CN"/>
        </w:rPr>
        <w:t>60</w:t>
      </w:r>
      <w:r>
        <w:rPr>
          <w:rFonts w:hint="eastAsia" w:ascii="仿宋" w:hAnsi="仿宋" w:eastAsia="仿宋" w:cs="仿宋"/>
          <w:sz w:val="32"/>
          <w:szCs w:val="32"/>
        </w:rPr>
        <w:t>家，市场主体创业创新活力全市领先。</w:t>
      </w:r>
    </w:p>
    <w:p>
      <w:pPr>
        <w:keepNext w:val="0"/>
        <w:keepLines w:val="0"/>
        <w:pageBreakBefore w:val="0"/>
        <w:kinsoku/>
        <w:wordWrap/>
        <w:overflowPunct/>
        <w:topLinePunct w:val="0"/>
        <w:autoSpaceDE/>
        <w:autoSpaceDN/>
        <w:bidi w:val="0"/>
        <w:adjustRightInd/>
        <w:spacing w:line="560" w:lineRule="exact"/>
        <w:textAlignment w:val="auto"/>
        <w:rPr>
          <w:rFonts w:hint="default" w:eastAsia="仿宋"/>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优化企业发展环境。</w:t>
      </w:r>
      <w:r>
        <w:rPr>
          <w:rFonts w:hint="eastAsia" w:ascii="仿宋" w:hAnsi="仿宋" w:eastAsia="仿宋" w:cs="仿宋"/>
          <w:sz w:val="32"/>
          <w:szCs w:val="32"/>
          <w:lang w:val="en-US" w:eastAsia="zh-CN"/>
        </w:rPr>
        <w:t>推进数字经济示范工程建设，优化项目跟踪服务机制，建立项目专员制度，协调项目建设过程中土地、资金和环保等问题，推动重大项目尽快投产建设。</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5" w:type="dxa"/>
          </w:tcPr>
          <w:p>
            <w:pPr>
              <w:pStyle w:val="71"/>
              <w:keepNext w:val="0"/>
              <w:keepLines w:val="0"/>
              <w:pageBreakBefore w:val="0"/>
              <w:kinsoku/>
              <w:wordWrap/>
              <w:overflowPunct/>
              <w:topLinePunct w:val="0"/>
              <w:autoSpaceDE/>
              <w:autoSpaceDN/>
              <w:bidi w:val="0"/>
              <w:adjustRightInd/>
              <w:spacing w:before="190" w:beforeLines="50" w:after="190" w:afterLines="50" w:line="560" w:lineRule="exact"/>
              <w:ind w:firstLine="0" w:firstLineChars="0"/>
              <w:jc w:val="center"/>
              <w:textAlignment w:val="auto"/>
              <w:rPr>
                <w:rFonts w:ascii="黑体" w:hAnsi="黑体" w:eastAsia="黑体" w:cs="黑体"/>
                <w:sz w:val="28"/>
                <w:szCs w:val="28"/>
              </w:rPr>
            </w:pPr>
            <w:r>
              <w:rPr>
                <w:rFonts w:hint="eastAsia" w:ascii="黑体" w:hAnsi="黑体" w:eastAsia="黑体" w:cs="黑体"/>
                <w:sz w:val="28"/>
                <w:szCs w:val="28"/>
              </w:rPr>
              <w:t>专栏</w:t>
            </w:r>
            <w:r>
              <w:rPr>
                <w:rFonts w:hint="eastAsia" w:ascii="黑体" w:hAnsi="黑体" w:eastAsia="黑体" w:cs="黑体"/>
                <w:sz w:val="28"/>
                <w:szCs w:val="28"/>
                <w:lang w:val="en-US" w:eastAsia="zh-CN"/>
              </w:rPr>
              <w:t>2</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培育梯度</w:t>
            </w:r>
            <w:r>
              <w:rPr>
                <w:rFonts w:hint="eastAsia" w:ascii="黑体" w:hAnsi="黑体" w:eastAsia="黑体" w:cs="黑体"/>
                <w:sz w:val="28"/>
                <w:szCs w:val="28"/>
              </w:rPr>
              <w:t>市场主体</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实施“凤凰行动”。</w:t>
            </w:r>
            <w:r>
              <w:rPr>
                <w:rFonts w:hint="eastAsia" w:ascii="仿宋" w:hAnsi="仿宋" w:eastAsia="仿宋" w:cs="仿宋"/>
                <w:sz w:val="28"/>
                <w:szCs w:val="28"/>
              </w:rPr>
              <w:t>鼓励将数字经济作为上市培育重点</w:t>
            </w:r>
            <w:r>
              <w:rPr>
                <w:rFonts w:hint="eastAsia" w:ascii="仿宋" w:hAnsi="仿宋" w:eastAsia="仿宋" w:cs="仿宋"/>
                <w:sz w:val="28"/>
                <w:szCs w:val="28"/>
                <w:lang w:val="en-US" w:eastAsia="zh-CN"/>
              </w:rPr>
              <w:t>对象</w:t>
            </w:r>
            <w:r>
              <w:rPr>
                <w:rFonts w:hint="eastAsia" w:ascii="仿宋" w:hAnsi="仿宋" w:eastAsia="仿宋" w:cs="仿宋"/>
                <w:sz w:val="28"/>
                <w:szCs w:val="28"/>
              </w:rPr>
              <w:t>，搭建多层次资本对接平台，加大股改、上市、并购重组等引导和支持力度，支持数字企业利用各级资本市场资源实现快速发展。</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实施“雄鹰行动”。</w:t>
            </w:r>
            <w:r>
              <w:rPr>
                <w:rFonts w:hint="eastAsia" w:ascii="仿宋" w:hAnsi="仿宋" w:eastAsia="仿宋" w:cs="仿宋"/>
                <w:sz w:val="28"/>
                <w:szCs w:val="28"/>
              </w:rPr>
              <w:t>重点做大做强一批智能终端、智能装备领域行业领军企业，培育一批“链主”企业；引导重点制造业龙头企业向数字经济领域拓展延伸，不断壮大数字经济企业群体。</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实施“雏鹰行动”。</w:t>
            </w:r>
            <w:r>
              <w:rPr>
                <w:rFonts w:hint="eastAsia" w:ascii="仿宋" w:hAnsi="仿宋" w:eastAsia="仿宋" w:cs="仿宋"/>
                <w:sz w:val="28"/>
                <w:szCs w:val="28"/>
              </w:rPr>
              <w:t>完善企业“微成长、小升高、高壮大”梯次培育机制，推动企业以“专精特新”中小企业-隐形冠军-“小巨人”企业-“单项冠军”企业梯级成长，培育一批业态模式特征鲜明的数字经济领域“专精特新”企业。</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实施科技企业“双倍增”行动。</w:t>
            </w:r>
            <w:r>
              <w:rPr>
                <w:rFonts w:hint="eastAsia" w:ascii="仿宋" w:hAnsi="仿宋" w:eastAsia="仿宋" w:cs="仿宋"/>
                <w:sz w:val="28"/>
                <w:szCs w:val="28"/>
              </w:rPr>
              <w:t>大力培育高新技术企业和科技型中小企业，打造梯度结构合理的创新型企业集群。鼓励龙头企业牵头开展国家级、省级重大创新载体创建和重大科技项目攻关，打造具有竞争力和知名度的创新型领军企业。</w:t>
            </w:r>
          </w:p>
        </w:tc>
      </w:tr>
    </w:tbl>
    <w:p>
      <w:pPr>
        <w:pStyle w:val="52"/>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hint="eastAsia" w:ascii="楷体" w:hAnsi="楷体" w:eastAsia="楷体" w:cs="楷体"/>
          <w:sz w:val="32"/>
          <w:szCs w:val="32"/>
        </w:rPr>
      </w:pPr>
      <w:bookmarkStart w:id="794" w:name="_Toc20702"/>
      <w:r>
        <w:rPr>
          <w:rFonts w:hint="eastAsia" w:ascii="楷体" w:hAnsi="楷体" w:eastAsia="楷体" w:cs="楷体"/>
          <w:sz w:val="32"/>
          <w:szCs w:val="32"/>
        </w:rPr>
        <w:t>（二）推进产业数字化，加快数字赋能进程</w:t>
      </w:r>
      <w:bookmarkEnd w:id="794"/>
    </w:p>
    <w:p>
      <w:pPr>
        <w:keepNext w:val="0"/>
        <w:keepLines w:val="0"/>
        <w:pageBreakBefore w:val="0"/>
        <w:kinsoku/>
        <w:wordWrap/>
        <w:overflowPunct/>
        <w:topLinePunct w:val="0"/>
        <w:autoSpaceDE/>
        <w:autoSpaceDN/>
        <w:bidi w:val="0"/>
        <w:adjustRightInd/>
        <w:spacing w:before="190" w:beforeLines="50" w:after="190" w:afterLines="50" w:line="560" w:lineRule="exact"/>
        <w:ind w:firstLine="601" w:firstLineChars="0"/>
        <w:textAlignment w:val="auto"/>
        <w:outlineLvl w:val="2"/>
        <w:rPr>
          <w:rFonts w:hint="eastAsia" w:ascii="仿宋" w:hAnsi="仿宋" w:eastAsia="仿宋" w:cs="仿宋_GB2312"/>
          <w:b/>
          <w:bCs/>
          <w:kern w:val="0"/>
          <w:sz w:val="32"/>
          <w:szCs w:val="32"/>
        </w:rPr>
      </w:pPr>
      <w:bookmarkStart w:id="795" w:name="_Toc25737"/>
      <w:r>
        <w:rPr>
          <w:rFonts w:hint="eastAsia" w:ascii="仿宋" w:hAnsi="仿宋" w:eastAsia="仿宋" w:cs="仿宋_GB2312"/>
          <w:b/>
          <w:bCs/>
          <w:kern w:val="0"/>
          <w:sz w:val="32"/>
          <w:szCs w:val="32"/>
        </w:rPr>
        <w:t>1.推动制造业数字化转型</w:t>
      </w:r>
      <w:bookmarkEnd w:id="795"/>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9"/>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高品质</w:t>
      </w:r>
      <w:r>
        <w:rPr>
          <w:rFonts w:hint="eastAsia" w:ascii="仿宋" w:hAnsi="仿宋" w:eastAsia="仿宋" w:cs="仿宋"/>
          <w:b/>
          <w:bCs/>
          <w:sz w:val="32"/>
          <w:szCs w:val="32"/>
        </w:rPr>
        <w:t>开展全覆盖智能化问诊。</w:t>
      </w:r>
      <w:r>
        <w:rPr>
          <w:rFonts w:hint="eastAsia" w:ascii="仿宋" w:hAnsi="仿宋" w:eastAsia="仿宋" w:cs="仿宋_GB2312"/>
          <w:kern w:val="0"/>
          <w:sz w:val="32"/>
          <w:szCs w:val="32"/>
        </w:rPr>
        <w:t>开展企业智能化对标问诊活动，组织行业智能制造专家，深入企业开展智能化技术改造诊断和咨询服务</w:t>
      </w:r>
      <w:r>
        <w:rPr>
          <w:rFonts w:hint="eastAsia" w:ascii="仿宋" w:hAnsi="仿宋" w:eastAsia="仿宋" w:cs="仿宋"/>
          <w:sz w:val="32"/>
          <w:szCs w:val="32"/>
          <w:lang w:eastAsia="zh-CN"/>
        </w:rPr>
        <w:t>。</w:t>
      </w:r>
      <w:r>
        <w:rPr>
          <w:rFonts w:hint="eastAsia" w:ascii="仿宋" w:hAnsi="仿宋" w:eastAsia="仿宋" w:cs="仿宋"/>
          <w:sz w:val="32"/>
          <w:szCs w:val="32"/>
        </w:rPr>
        <w:t>筹建永嘉重点行业智能化技术咨询诊断成果数据库，分行业、分企业、分领域梳理出诊断成果，为企业提供个性化智能化改造指导服务。</w:t>
      </w:r>
      <w:r>
        <w:rPr>
          <w:rFonts w:ascii="仿宋" w:hAnsi="仿宋" w:eastAsia="仿宋" w:cs="仿宋"/>
          <w:sz w:val="32"/>
          <w:szCs w:val="32"/>
        </w:rPr>
        <w:t>到</w:t>
      </w:r>
      <w:r>
        <w:rPr>
          <w:rFonts w:hint="eastAsia" w:ascii="仿宋" w:hAnsi="仿宋" w:eastAsia="仿宋" w:cs="仿宋"/>
          <w:sz w:val="32"/>
          <w:szCs w:val="32"/>
        </w:rPr>
        <w:t>2025年</w:t>
      </w:r>
      <w:r>
        <w:rPr>
          <w:rFonts w:hint="eastAsia" w:ascii="仿宋" w:hAnsi="仿宋" w:eastAsia="仿宋" w:cs="仿宋"/>
          <w:sz w:val="32"/>
          <w:szCs w:val="32"/>
          <w:lang w:eastAsia="zh-CN"/>
        </w:rPr>
        <w:t>，</w:t>
      </w:r>
      <w:r>
        <w:rPr>
          <w:rFonts w:hint="eastAsia" w:ascii="仿宋" w:hAnsi="仿宋" w:eastAsia="仿宋" w:cs="仿宋"/>
          <w:sz w:val="32"/>
          <w:szCs w:val="32"/>
        </w:rPr>
        <w:t>实现规上企业智能化问诊全覆盖。</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（2）高质量推进“产业大脑”建设。</w:t>
      </w:r>
      <w:r>
        <w:rPr>
          <w:rFonts w:hint="eastAsia" w:ascii="仿宋" w:hAnsi="仿宋" w:eastAsia="仿宋" w:cs="仿宋"/>
          <w:b w:val="0"/>
          <w:bCs w:val="0"/>
          <w:sz w:val="32"/>
          <w:szCs w:val="32"/>
          <w:lang w:val="en-US" w:eastAsia="zh-CN"/>
        </w:rPr>
        <w:t>按照省、市产业大脑建设任务，搭建以工业互联网为支撑，以数据资源为核心，综合集成产业链、供应链、资金链、创新链，融合企业侧和政府侧，为企业数字化转型、产业生态建设、经济治理提供集成开放服务的赋能平台，重点推进省级泵阀（工业阀）产业大脑建设。围绕泵阀、鞋服、教玩具等特色产业，争创细分领域产业大脑，力争在全省率先形成快速响应市场、要素高效配置、平台赋能增强、协同创新发展的产业大脑体系。</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高水平推进工业互联网创新发展。</w:t>
      </w:r>
      <w:r>
        <w:rPr>
          <w:rFonts w:hint="eastAsia" w:ascii="仿宋" w:hAnsi="仿宋" w:eastAsia="仿宋" w:cs="仿宋"/>
          <w:sz w:val="32"/>
          <w:szCs w:val="32"/>
        </w:rPr>
        <w:t>加快推进省级工业互联网平台建设及应用重点示范县建设。在泵阀、鞋服、智能装备、教玩具等重点行业培育一批行业级、企业级、区域级工业互联网平台，推动中小企业积极上平台、用平台。扎实推进永嘉泵阀行业、鞋服行业、教玩具行业云平台建设。实施“5G+工业互联网”工程，培育一批标杆性示范平台。力争到2025年，工业设备联网率达到55%，培育省级工业互联网平台10个。</w:t>
      </w:r>
    </w:p>
    <w:p>
      <w:pPr>
        <w:keepNext w:val="0"/>
        <w:keepLines w:val="0"/>
        <w:pageBreakBefore w:val="0"/>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（4）高标准打造未来工厂为引领的新智造群体。</w:t>
      </w:r>
      <w:r>
        <w:rPr>
          <w:rFonts w:hint="eastAsia" w:ascii="仿宋" w:hAnsi="仿宋" w:eastAsia="仿宋" w:cs="仿宋"/>
          <w:b w:val="0"/>
          <w:bCs w:val="0"/>
          <w:sz w:val="32"/>
          <w:szCs w:val="32"/>
        </w:rPr>
        <w:t>鼓励龙头企业广泛应用数字孪生、物联网、大数据、人工智能、工业互联网等技术，实现数字化设计、智能化生产、智慧化管理、协同化制造、绿色化制造、安全化管控。</w:t>
      </w:r>
      <w:r>
        <w:rPr>
          <w:rFonts w:hint="eastAsia" w:ascii="仿宋" w:hAnsi="仿宋" w:eastAsia="仿宋" w:cs="仿宋"/>
          <w:sz w:val="32"/>
          <w:szCs w:val="32"/>
          <w:lang w:val="en-US" w:eastAsia="zh-CN"/>
        </w:rPr>
        <w:t>以泵阀、鞋服、智能装备、教玩具等优势产业为重点，</w:t>
      </w:r>
      <w:r>
        <w:rPr>
          <w:rFonts w:hint="eastAsia" w:ascii="仿宋" w:hAnsi="仿宋" w:eastAsia="仿宋" w:cs="仿宋"/>
          <w:b w:val="0"/>
          <w:bCs w:val="0"/>
          <w:sz w:val="32"/>
          <w:szCs w:val="32"/>
        </w:rPr>
        <w:t>在基础较好的企业</w:t>
      </w:r>
      <w:r>
        <w:rPr>
          <w:rFonts w:hint="eastAsia" w:ascii="仿宋" w:hAnsi="仿宋" w:eastAsia="仿宋" w:cs="仿宋"/>
          <w:sz w:val="32"/>
          <w:szCs w:val="32"/>
          <w:lang w:val="en-US" w:eastAsia="zh-CN"/>
        </w:rPr>
        <w:t>推广全面感知、设备互联、数据集成、智能管控，建设智能制造单元、智能生产线，打造一批数字化车间/智能工厂。到2025年，</w:t>
      </w:r>
      <w:r>
        <w:rPr>
          <w:rFonts w:hint="eastAsia" w:ascii="仿宋" w:hAnsi="仿宋" w:eastAsia="仿宋" w:cs="仿宋"/>
          <w:b w:val="0"/>
          <w:bCs w:val="0"/>
          <w:sz w:val="32"/>
          <w:szCs w:val="32"/>
        </w:rPr>
        <w:t>建设10家全省技术水平一流的未来工厂、数字化车间/智能工厂</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0"/>
        <w:textAlignment w:val="auto"/>
        <w:outlineLvl w:val="9"/>
        <w:rPr>
          <w:rFonts w:hint="eastAsia"/>
        </w:rPr>
      </w:pPr>
      <w:r>
        <w:rPr>
          <w:rFonts w:hint="eastAsia" w:ascii="仿宋" w:hAnsi="仿宋" w:eastAsia="仿宋" w:cs="仿宋"/>
          <w:b/>
          <w:bCs/>
          <w:sz w:val="32"/>
          <w:szCs w:val="32"/>
          <w:lang w:val="en-US" w:eastAsia="zh-CN"/>
        </w:rPr>
        <w:t>（5）高要求</w:t>
      </w:r>
      <w:r>
        <w:rPr>
          <w:rFonts w:hint="eastAsia" w:ascii="仿宋" w:hAnsi="仿宋" w:eastAsia="仿宋" w:cs="仿宋"/>
          <w:b/>
          <w:bCs/>
          <w:sz w:val="32"/>
          <w:szCs w:val="32"/>
        </w:rPr>
        <w:t>强化服务</w:t>
      </w:r>
      <w:r>
        <w:rPr>
          <w:rFonts w:hint="eastAsia" w:ascii="仿宋" w:hAnsi="仿宋" w:eastAsia="仿宋" w:cs="仿宋"/>
          <w:b/>
          <w:bCs/>
          <w:sz w:val="32"/>
          <w:szCs w:val="32"/>
          <w:lang w:val="en-US" w:eastAsia="zh-CN"/>
        </w:rPr>
        <w:t>供给</w:t>
      </w:r>
      <w:r>
        <w:rPr>
          <w:rFonts w:hint="eastAsia" w:ascii="仿宋" w:hAnsi="仿宋" w:eastAsia="仿宋" w:cs="仿宋"/>
          <w:b/>
          <w:bCs/>
          <w:sz w:val="32"/>
          <w:szCs w:val="32"/>
        </w:rPr>
        <w:t>能力</w:t>
      </w:r>
      <w:r>
        <w:rPr>
          <w:rFonts w:hint="eastAsia" w:ascii="仿宋" w:hAnsi="仿宋" w:eastAsia="仿宋" w:cs="仿宋"/>
          <w:b/>
          <w:bCs/>
          <w:sz w:val="32"/>
          <w:szCs w:val="32"/>
          <w:lang w:eastAsia="zh-CN"/>
        </w:rPr>
        <w:t>。</w:t>
      </w:r>
      <w:r>
        <w:rPr>
          <w:rFonts w:hint="eastAsia" w:ascii="仿宋" w:hAnsi="仿宋" w:eastAsia="仿宋" w:cs="仿宋"/>
          <w:sz w:val="32"/>
          <w:szCs w:val="32"/>
        </w:rPr>
        <w:t>推行普惠性“上云用数赋智”服务，建立制造企业与金融机构、信息服务机构联动机制，推进数字技术全生命周期的深度集成应用。培育工业信息工程服务机构，强化对接供给，</w:t>
      </w:r>
      <w:r>
        <w:rPr>
          <w:rFonts w:hint="eastAsia" w:ascii="仿宋" w:hAnsi="仿宋" w:eastAsia="仿宋" w:cs="仿宋_GB2312"/>
          <w:kern w:val="0"/>
          <w:sz w:val="32"/>
          <w:szCs w:val="32"/>
        </w:rPr>
        <w:t>大力发展具有智能制造总设计、总集成、总实施能力的工业信息工程公司，在泵阀、鞋服、教玩具等企业全面开展系统集成服务和工程售后服务。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pStyle w:val="71"/>
              <w:keepNext w:val="0"/>
              <w:keepLines w:val="0"/>
              <w:pageBreakBefore w:val="0"/>
              <w:kinsoku/>
              <w:wordWrap/>
              <w:overflowPunct/>
              <w:topLinePunct w:val="0"/>
              <w:autoSpaceDE/>
              <w:autoSpaceDN/>
              <w:bidi w:val="0"/>
              <w:adjustRightInd/>
              <w:spacing w:before="192" w:beforeLines="50" w:after="192" w:afterLines="50" w:line="560" w:lineRule="exact"/>
              <w:ind w:firstLine="0" w:firstLineChars="0"/>
              <w:jc w:val="center"/>
              <w:textAlignment w:val="auto"/>
              <w:rPr>
                <w:rFonts w:ascii="黑体" w:hAnsi="黑体" w:eastAsia="黑体" w:cs="黑体"/>
                <w:sz w:val="28"/>
                <w:szCs w:val="28"/>
              </w:rPr>
            </w:pPr>
            <w:r>
              <w:rPr>
                <w:rFonts w:hint="eastAsia" w:ascii="黑体" w:hAnsi="黑体" w:eastAsia="黑体" w:cs="黑体"/>
                <w:sz w:val="28"/>
                <w:szCs w:val="28"/>
              </w:rPr>
              <w:t>专栏</w:t>
            </w:r>
            <w:r>
              <w:rPr>
                <w:rFonts w:hint="eastAsia" w:ascii="黑体" w:hAnsi="黑体" w:eastAsia="黑体" w:cs="黑体"/>
                <w:sz w:val="28"/>
                <w:szCs w:val="28"/>
                <w:lang w:val="en-US" w:eastAsia="zh-CN"/>
              </w:rPr>
              <w:t>3</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重点行业数字化转型</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bCs/>
                <w:sz w:val="28"/>
                <w:szCs w:val="28"/>
                <w:lang w:eastAsia="zh-CN"/>
              </w:rPr>
            </w:pPr>
            <w:r>
              <w:rPr>
                <w:rFonts w:hint="eastAsia" w:ascii="仿宋" w:hAnsi="仿宋" w:eastAsia="仿宋" w:cs="仿宋"/>
                <w:b/>
                <w:bCs w:val="0"/>
                <w:sz w:val="28"/>
                <w:szCs w:val="28"/>
                <w:lang w:val="en-US" w:eastAsia="zh-CN"/>
              </w:rPr>
              <w:t>泵阀行业服务型制造。</w:t>
            </w:r>
            <w:r>
              <w:rPr>
                <w:rFonts w:hint="eastAsia" w:ascii="仿宋" w:hAnsi="仿宋" w:eastAsia="仿宋" w:cs="仿宋"/>
                <w:bCs/>
                <w:sz w:val="28"/>
                <w:szCs w:val="28"/>
              </w:rPr>
              <w:t>深化实施“智能+”战略，把智能机器、机器联网、一体化流水线作为推广应用重点。针对中小企业劳动力密集、作业环境恶劣、安全风险高等环节，推进智能化改造，加快关键工序改造升级。引导泵阀龙头企业利用互联网开展远程咨询、位置服务、呼叫中心、远程监控、故障诊断、过程优化等在线增值服务，实现从制造产品为主向提供工程承包和远程运维服务转变</w:t>
            </w:r>
            <w:r>
              <w:rPr>
                <w:rFonts w:hint="eastAsia" w:ascii="仿宋" w:hAnsi="仿宋" w:eastAsia="仿宋" w:cs="仿宋"/>
                <w:bCs/>
                <w:sz w:val="28"/>
                <w:szCs w:val="28"/>
                <w:lang w:eastAsia="zh-CN"/>
              </w:rPr>
              <w:t>。</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bCs/>
                <w:sz w:val="28"/>
                <w:szCs w:val="28"/>
                <w:lang w:val="en-US" w:eastAsia="zh-CN"/>
              </w:rPr>
            </w:pPr>
            <w:r>
              <w:rPr>
                <w:rFonts w:hint="eastAsia" w:ascii="仿宋" w:hAnsi="仿宋" w:eastAsia="仿宋" w:cs="仿宋"/>
                <w:b/>
                <w:bCs w:val="0"/>
                <w:sz w:val="28"/>
                <w:szCs w:val="28"/>
                <w:lang w:val="en-US" w:eastAsia="zh-CN"/>
              </w:rPr>
              <w:t>时尚产业大规模个性化定制。</w:t>
            </w:r>
            <w:r>
              <w:rPr>
                <w:rFonts w:hint="eastAsia" w:ascii="仿宋" w:hAnsi="仿宋" w:eastAsia="仿宋" w:cs="仿宋"/>
                <w:bCs/>
                <w:sz w:val="28"/>
                <w:szCs w:val="28"/>
                <w:lang w:val="en-US" w:eastAsia="zh-CN"/>
              </w:rPr>
              <w:t>聚焦服装、制鞋等传统产业产业大力引导鞋服行业开展基于互联网的大规模个性化定制，发展客户需求分析、产品开发设计、柔性智能生产、精准交付服务等功能，建立用户个性化需求信息平台和定制服务平台，为顾客提供个性化、定制化的体验式购物的一站式解决方案，并进一步挖掘分析用户需求特征，为产品设计、市场预测、精准营销等提供智力支持。</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bCs/>
                <w:sz w:val="28"/>
                <w:szCs w:val="28"/>
                <w:lang w:val="en-US" w:eastAsia="zh-CN"/>
              </w:rPr>
            </w:pPr>
            <w:r>
              <w:rPr>
                <w:rFonts w:hint="eastAsia" w:ascii="仿宋" w:hAnsi="仿宋" w:eastAsia="仿宋" w:cs="仿宋"/>
                <w:b/>
                <w:bCs w:val="0"/>
                <w:sz w:val="28"/>
                <w:szCs w:val="28"/>
                <w:lang w:val="en-US" w:eastAsia="zh-CN"/>
              </w:rPr>
              <w:t>教玩具行业网络化协同。</w:t>
            </w:r>
            <w:r>
              <w:rPr>
                <w:rFonts w:hint="eastAsia" w:ascii="仿宋" w:hAnsi="仿宋" w:eastAsia="仿宋" w:cs="仿宋"/>
                <w:bCs/>
                <w:sz w:val="28"/>
                <w:szCs w:val="28"/>
                <w:lang w:val="en-US" w:eastAsia="zh-CN"/>
              </w:rPr>
              <w:t>积极引导企业利用仿真设计、三维CA（计算机辅助设计）、CAPP（计算机辅助工艺）、虚拟现实等技术提升设计研发质量和效率，运用3D打印等技术实现模具和样品的快速制造。加快构建产业链企业间、企业各部门间信息协同的新型制造组织体系，推动网络化协同生产，鼓励大企业建立基于互联网的产业链协同平台，带动供应商的协作生产，进一步降低生产成本。</w:t>
            </w:r>
          </w:p>
        </w:tc>
      </w:t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tbl>
    <w:p>
      <w:pPr>
        <w:pStyle w:val="27"/>
        <w:keepNext w:val="0"/>
        <w:keepLines w:val="0"/>
        <w:pageBreakBefore w:val="0"/>
        <w:kinsoku/>
        <w:wordWrap/>
        <w:overflowPunct/>
        <w:topLinePunct w:val="0"/>
        <w:autoSpaceDE/>
        <w:autoSpaceDN/>
        <w:bidi w:val="0"/>
        <w:adjustRightInd/>
        <w:spacing w:before="190" w:beforeLines="50" w:after="190" w:afterLines="50" w:line="560" w:lineRule="exact"/>
        <w:ind w:firstLine="643"/>
        <w:textAlignment w:val="auto"/>
        <w:outlineLvl w:val="2"/>
        <w:rPr>
          <w:rFonts w:hint="eastAsia" w:ascii="仿宋" w:hAnsi="仿宋" w:eastAsia="仿宋" w:cs="仿宋"/>
          <w:b/>
          <w:bCs/>
          <w:kern w:val="2"/>
          <w:sz w:val="32"/>
          <w:szCs w:val="32"/>
          <w:lang w:val="en-US" w:eastAsia="zh-CN"/>
        </w:rPr>
      </w:pPr>
      <w:bookmarkStart w:id="796" w:name="_Toc22386"/>
      <w:bookmarkStart w:id="797" w:name="_Toc20919"/>
      <w:bookmarkStart w:id="798" w:name="_Toc28040"/>
      <w:bookmarkStart w:id="799" w:name="_Toc2366"/>
      <w:bookmarkStart w:id="800" w:name="_Toc16464"/>
      <w:bookmarkStart w:id="801" w:name="_Toc21217"/>
      <w:bookmarkStart w:id="802" w:name="_Toc20575"/>
      <w:bookmarkStart w:id="803" w:name="_Toc28052"/>
      <w:bookmarkStart w:id="804" w:name="_Toc1177"/>
      <w:bookmarkStart w:id="805" w:name="_Toc13568"/>
      <w:bookmarkStart w:id="806" w:name="_Toc13269"/>
      <w:bookmarkStart w:id="807" w:name="_Toc24576"/>
      <w:bookmarkStart w:id="808" w:name="_Toc9906"/>
      <w:bookmarkStart w:id="809" w:name="_Toc5969"/>
      <w:bookmarkStart w:id="810" w:name="_Toc6921"/>
      <w:bookmarkStart w:id="811" w:name="_Toc9063"/>
      <w:bookmarkStart w:id="812" w:name="_Toc3144"/>
      <w:bookmarkStart w:id="813" w:name="_Toc3169"/>
      <w:bookmarkStart w:id="814" w:name="_Toc6528"/>
      <w:bookmarkStart w:id="815" w:name="_Toc11306"/>
      <w:bookmarkStart w:id="816" w:name="_Toc7779"/>
      <w:bookmarkStart w:id="817" w:name="_Toc5938"/>
      <w:bookmarkStart w:id="818" w:name="_Toc27191"/>
      <w:bookmarkStart w:id="819" w:name="_Toc5879"/>
      <w:bookmarkStart w:id="820" w:name="_Toc1984"/>
      <w:bookmarkStart w:id="821" w:name="_Toc25089"/>
      <w:bookmarkStart w:id="822" w:name="_Toc25055"/>
      <w:bookmarkStart w:id="823" w:name="_Toc3713"/>
      <w:bookmarkStart w:id="824" w:name="_Toc23958"/>
      <w:bookmarkStart w:id="825" w:name="_Toc1874"/>
      <w:bookmarkStart w:id="826" w:name="_Toc15617"/>
      <w:bookmarkStart w:id="827" w:name="_Toc15486"/>
      <w:bookmarkStart w:id="828" w:name="_Toc27570"/>
      <w:bookmarkStart w:id="829" w:name="_Toc19226"/>
      <w:bookmarkStart w:id="830" w:name="_Toc29933"/>
      <w:bookmarkStart w:id="831" w:name="_Toc18973"/>
      <w:bookmarkStart w:id="832" w:name="_Toc8775"/>
      <w:bookmarkStart w:id="833" w:name="_Toc11385"/>
      <w:bookmarkStart w:id="834" w:name="_Toc8642"/>
      <w:bookmarkStart w:id="835" w:name="_Toc6093"/>
      <w:bookmarkStart w:id="836" w:name="_Toc28097"/>
      <w:bookmarkStart w:id="837" w:name="_Toc28715"/>
      <w:bookmarkStart w:id="838" w:name="_Toc31853"/>
      <w:bookmarkStart w:id="839" w:name="_Toc10332"/>
      <w:bookmarkStart w:id="840" w:name="_Toc7224"/>
      <w:bookmarkStart w:id="841" w:name="_Toc31040"/>
      <w:bookmarkStart w:id="842" w:name="_Toc6897"/>
      <w:bookmarkStart w:id="843" w:name="_Toc10054"/>
      <w:bookmarkStart w:id="844" w:name="_Toc14710"/>
      <w:bookmarkStart w:id="845" w:name="_Toc9685"/>
      <w:bookmarkStart w:id="846" w:name="_Toc5508"/>
      <w:bookmarkStart w:id="847" w:name="_Toc11642"/>
      <w:bookmarkStart w:id="848" w:name="_Toc8827"/>
      <w:bookmarkStart w:id="849" w:name="_Toc31621"/>
      <w:bookmarkStart w:id="850" w:name="_Toc26792"/>
      <w:bookmarkStart w:id="851" w:name="_Toc12924"/>
      <w:bookmarkStart w:id="852" w:name="_Toc16916"/>
      <w:bookmarkStart w:id="853" w:name="_Toc4276"/>
      <w:bookmarkStart w:id="854" w:name="_Toc23631"/>
      <w:bookmarkStart w:id="855" w:name="_Toc29982"/>
      <w:bookmarkStart w:id="856" w:name="_Toc598"/>
      <w:bookmarkStart w:id="857" w:name="_Toc16323"/>
      <w:bookmarkStart w:id="858" w:name="_Toc7696"/>
      <w:r>
        <w:rPr>
          <w:rFonts w:hint="eastAsia" w:ascii="仿宋" w:hAnsi="仿宋" w:eastAsia="仿宋" w:cs="仿宋"/>
          <w:b/>
          <w:bCs/>
          <w:kern w:val="2"/>
          <w:sz w:val="32"/>
          <w:szCs w:val="32"/>
          <w:lang w:val="en-US" w:eastAsia="zh-CN"/>
        </w:rPr>
        <w:t>2.全面推动服务业数字化转型</w:t>
      </w:r>
      <w:bookmarkEnd w:id="796"/>
      <w:bookmarkEnd w:id="797"/>
      <w:bookmarkEnd w:id="798"/>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
          <w:sz w:val="32"/>
          <w:szCs w:val="32"/>
          <w:shd w:val="clear" w:color="auto" w:fill="FFFFFF"/>
        </w:rPr>
      </w:pPr>
      <w:r>
        <w:rPr>
          <w:rFonts w:hint="eastAsia" w:ascii="仿宋" w:hAnsi="仿宋" w:eastAsia="仿宋" w:cs="仿宋"/>
          <w:b/>
          <w:bCs/>
          <w:sz w:val="32"/>
          <w:szCs w:val="32"/>
          <w:shd w:val="clear" w:color="auto" w:fill="FFFFFF"/>
          <w:lang w:val="en-US" w:eastAsia="zh-CN"/>
        </w:rPr>
        <w:t>（1）加快发展数字贸易新业态。</w:t>
      </w:r>
      <w:r>
        <w:rPr>
          <w:rFonts w:hint="eastAsia" w:ascii="仿宋" w:hAnsi="仿宋" w:eastAsia="仿宋" w:cs="仿宋"/>
          <w:sz w:val="32"/>
          <w:szCs w:val="32"/>
          <w:lang w:val="en-US" w:eastAsia="zh-CN"/>
        </w:rPr>
        <w:t>积极打造全省电商新中心，</w:t>
      </w:r>
      <w:r>
        <w:rPr>
          <w:rFonts w:hint="eastAsia" w:ascii="仿宋" w:hAnsi="仿宋" w:eastAsia="仿宋" w:cs="仿宋"/>
          <w:b w:val="0"/>
          <w:bCs w:val="0"/>
          <w:sz w:val="32"/>
          <w:szCs w:val="32"/>
          <w:shd w:val="clear" w:color="auto" w:fill="FFFFFF"/>
          <w:lang w:val="en-US" w:eastAsia="zh-CN"/>
        </w:rPr>
        <w:t>培育跨境电商、直播电商及产业集聚园区，</w:t>
      </w:r>
      <w:r>
        <w:rPr>
          <w:rFonts w:hint="eastAsia" w:ascii="仿宋" w:hAnsi="仿宋" w:eastAsia="仿宋" w:cs="仿宋"/>
          <w:sz w:val="32"/>
          <w:szCs w:val="32"/>
          <w:lang w:val="en-US" w:eastAsia="zh-CN"/>
        </w:rPr>
        <w:t>加快构建</w:t>
      </w:r>
      <w:r>
        <w:rPr>
          <w:rFonts w:hint="eastAsia" w:ascii="仿宋" w:hAnsi="仿宋" w:eastAsia="仿宋" w:cs="仿宋"/>
          <w:b w:val="0"/>
          <w:bCs w:val="0"/>
          <w:sz w:val="32"/>
          <w:szCs w:val="32"/>
          <w:shd w:val="clear" w:color="auto" w:fill="FFFFFF"/>
          <w:lang w:val="en-US" w:eastAsia="zh-CN"/>
        </w:rPr>
        <w:t>电商生态圈。</w:t>
      </w:r>
      <w:r>
        <w:rPr>
          <w:rFonts w:hint="eastAsia" w:ascii="仿宋" w:hAnsi="仿宋" w:eastAsia="仿宋" w:cs="仿宋"/>
          <w:sz w:val="32"/>
          <w:szCs w:val="32"/>
          <w:shd w:val="clear" w:color="auto" w:fill="FFFFFF"/>
        </w:rPr>
        <w:t>建设跨境电商综试区，推进桥下教玩具产业集群跨境电商发展试点建设，鼓励鞋服、钮扣拉链等传统企业积极开展跨境电商业务。</w:t>
      </w:r>
      <w:r>
        <w:rPr>
          <w:rFonts w:hint="eastAsia" w:ascii="仿宋" w:hAnsi="仿宋" w:eastAsia="仿宋" w:cs="仿宋"/>
          <w:b w:val="0"/>
          <w:bCs w:val="0"/>
          <w:sz w:val="32"/>
          <w:szCs w:val="32"/>
          <w:shd w:val="clear" w:color="auto" w:fill="FFFFFF"/>
          <w:lang w:val="en-US" w:eastAsia="zh-CN"/>
        </w:rPr>
        <w:t>推动重点商贸企业和专业市场数字化转型，强化与集群供应链数字化融合，推动电子商务向供应链服务商转型升级。</w:t>
      </w:r>
      <w:r>
        <w:rPr>
          <w:rFonts w:hint="eastAsia" w:ascii="仿宋" w:hAnsi="仿宋" w:eastAsia="仿宋" w:cs="仿宋"/>
          <w:b w:val="0"/>
          <w:bCs w:val="0"/>
          <w:sz w:val="32"/>
          <w:szCs w:val="32"/>
          <w:shd w:val="clear"/>
          <w:lang w:val="en-US" w:eastAsia="zh-CN"/>
        </w:rPr>
        <w:t>加快国家级电子商务进农村综合示范县建设，推进农旅电商融合，形成“农业+旅游+电商”的农村电商发展模式。</w:t>
      </w:r>
      <w:r>
        <w:rPr>
          <w:rFonts w:hint="eastAsia" w:ascii="仿宋" w:hAnsi="仿宋" w:eastAsia="仿宋" w:cs="仿宋"/>
          <w:sz w:val="32"/>
          <w:szCs w:val="32"/>
        </w:rPr>
        <w:t>依托侨乡资源，探索发展芯片贸易，吸引芯片贸易商来永嘉设立贸易公司。</w:t>
      </w:r>
      <w:r>
        <w:rPr>
          <w:rFonts w:hint="eastAsia" w:ascii="仿宋" w:hAnsi="仿宋" w:eastAsia="仿宋" w:cs="仿宋"/>
          <w:sz w:val="32"/>
          <w:szCs w:val="32"/>
          <w:shd w:val="clear" w:color="auto" w:fill="FFFFFF"/>
        </w:rPr>
        <w:t>力争到2025年，网络零售额达到34</w:t>
      </w:r>
      <w:r>
        <w:rPr>
          <w:rFonts w:hint="eastAsia" w:ascii="仿宋" w:hAnsi="仿宋" w:eastAsia="仿宋" w:cs="仿宋"/>
          <w:sz w:val="32"/>
          <w:szCs w:val="32"/>
          <w:shd w:val="clear" w:color="auto" w:fill="FFFFFF"/>
          <w:lang w:val="en-US" w:eastAsia="zh-CN"/>
        </w:rPr>
        <w:t>6</w:t>
      </w:r>
      <w:r>
        <w:rPr>
          <w:rFonts w:hint="eastAsia" w:ascii="仿宋" w:hAnsi="仿宋" w:eastAsia="仿宋" w:cs="仿宋"/>
          <w:sz w:val="32"/>
          <w:szCs w:val="32"/>
          <w:shd w:val="clear" w:color="auto" w:fill="FFFFFF"/>
        </w:rPr>
        <w:t>亿元。</w:t>
      </w:r>
    </w:p>
    <w:p>
      <w:pPr>
        <w:pStyle w:val="24"/>
        <w:keepNext w:val="0"/>
        <w:keepLines w:val="0"/>
        <w:pageBreakBefore w:val="0"/>
        <w:kinsoku/>
        <w:wordWrap/>
        <w:overflowPunct/>
        <w:topLinePunct w:val="0"/>
        <w:autoSpaceDE/>
        <w:autoSpaceDN/>
        <w:bidi w:val="0"/>
        <w:adjustRightInd/>
        <w:spacing w:before="0" w:beforeAutospacing="0" w:after="0" w:afterAutospacing="0" w:line="560" w:lineRule="exact"/>
        <w:ind w:firstLine="643"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（2）大力发展智慧物流。</w:t>
      </w:r>
      <w:r>
        <w:rPr>
          <w:rFonts w:hint="eastAsia" w:ascii="仿宋" w:hAnsi="仿宋" w:eastAsia="仿宋" w:cs="仿宋"/>
          <w:sz w:val="32"/>
          <w:szCs w:val="32"/>
          <w:shd w:val="clear" w:color="auto" w:fill="FFFFFF"/>
          <w:lang w:val="en-US" w:eastAsia="zh-CN"/>
        </w:rPr>
        <w:t>积极融入国家（温州）物流综合信息服务平台，加快智慧物流建设步伐。构建现代物流体系，加快形成“一主四副多点”现代物流产业格局。加快物流行业数字化转型，</w:t>
      </w:r>
      <w:r>
        <w:rPr>
          <w:rFonts w:hint="eastAsia" w:ascii="仿宋" w:hAnsi="仿宋" w:eastAsia="仿宋" w:cs="仿宋"/>
          <w:sz w:val="32"/>
          <w:szCs w:val="32"/>
          <w:shd w:val="clear" w:color="auto" w:fill="FFFFFF"/>
        </w:rPr>
        <w:t>推广智能物流装备应用，</w:t>
      </w:r>
      <w:r>
        <w:rPr>
          <w:rFonts w:hint="eastAsia" w:ascii="仿宋" w:hAnsi="仿宋" w:eastAsia="仿宋" w:cs="仿宋"/>
          <w:sz w:val="32"/>
          <w:szCs w:val="32"/>
          <w:shd w:val="clear" w:color="auto" w:fill="FFFFFF"/>
          <w:lang w:val="en-US" w:eastAsia="zh-CN"/>
        </w:rPr>
        <w:t>加强引导智慧物流企业与制造企业、电商企业等业务联动，提高供应链数字化协同效率。支持物流平台建设，促进区域内货源、车源、市场信息及相关物流服务的信息联网和共享，大力发展物流服务。</w:t>
      </w:r>
    </w:p>
    <w:p>
      <w:pPr>
        <w:pStyle w:val="24"/>
        <w:keepNext w:val="0"/>
        <w:keepLines w:val="0"/>
        <w:pageBreakBefore w:val="0"/>
        <w:kinsoku/>
        <w:wordWrap/>
        <w:overflowPunct/>
        <w:topLinePunct w:val="0"/>
        <w:autoSpaceDE/>
        <w:autoSpaceDN/>
        <w:bidi w:val="0"/>
        <w:adjustRightInd/>
        <w:spacing w:before="0" w:beforeAutospacing="0" w:after="0" w:afterAutospacing="0" w:line="560" w:lineRule="exact"/>
        <w:ind w:firstLine="643" w:firstLineChars="200"/>
        <w:textAlignment w:val="auto"/>
        <w:rPr>
          <w:rFonts w:hint="default" w:ascii="仿宋" w:hAnsi="仿宋" w:eastAsia="仿宋" w:cs="仿宋"/>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（3）全面发展数字生活新服务。</w:t>
      </w:r>
      <w:r>
        <w:rPr>
          <w:rFonts w:hint="eastAsia" w:ascii="仿宋" w:hAnsi="仿宋" w:eastAsia="仿宋" w:cs="仿宋"/>
          <w:sz w:val="32"/>
          <w:szCs w:val="32"/>
          <w:shd w:val="clear" w:color="auto" w:fill="FFFFFF"/>
          <w:lang w:val="en-US" w:eastAsia="zh-CN"/>
        </w:rPr>
        <w:t>推进生活性服务业数字化转型，创新推广一批新业态新模式，培育壮大一批重点行业、平台和企业。推动互联网、移动智能终端与民生服务深度融合，丰富旅游、医疗、教育等服务产品，推动生活方式向智能化转变。发展共享经济新业态，围绕生产、旅游、出行、教育、医疗等领域，积极探索生产服务要素、生活服务要素高质量供给。</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4</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推动生产性服务业数字化转型</w:t>
      </w:r>
      <w:r>
        <w:rPr>
          <w:rFonts w:hint="eastAsia" w:ascii="仿宋" w:hAnsi="仿宋" w:eastAsia="仿宋" w:cs="仿宋_GB2312"/>
          <w:b/>
          <w:bCs/>
          <w:kern w:val="0"/>
          <w:sz w:val="32"/>
          <w:szCs w:val="32"/>
          <w:lang w:eastAsia="zh-CN"/>
        </w:rPr>
        <w:t>。</w:t>
      </w:r>
      <w:r>
        <w:rPr>
          <w:rFonts w:hint="eastAsia" w:ascii="仿宋" w:hAnsi="仿宋" w:eastAsia="仿宋" w:cs="仿宋_GB2312"/>
          <w:kern w:val="0"/>
          <w:sz w:val="32"/>
          <w:szCs w:val="32"/>
        </w:rPr>
        <w:t>推进研发设计、生产制造、现代物流、金融服务、检测检验等环节数字化转型，培育壮大智能设计、现代商贸等服务业态。发展智能设计、云设计等数字化设计新业态</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发展总集成总承包、全生命周期管理、智能运维等服务型制造。</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pStyle w:val="71"/>
              <w:keepNext w:val="0"/>
              <w:keepLines w:val="0"/>
              <w:pageBreakBefore w:val="0"/>
              <w:kinsoku/>
              <w:wordWrap/>
              <w:overflowPunct/>
              <w:topLinePunct w:val="0"/>
              <w:autoSpaceDE/>
              <w:autoSpaceDN/>
              <w:bidi w:val="0"/>
              <w:adjustRightInd/>
              <w:spacing w:before="192" w:beforeLines="50" w:after="192" w:afterLines="50" w:line="560" w:lineRule="exact"/>
              <w:ind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专栏</w:t>
            </w:r>
            <w:r>
              <w:rPr>
                <w:rFonts w:hint="eastAsia" w:ascii="黑体" w:hAnsi="黑体" w:eastAsia="黑体" w:cs="黑体"/>
                <w:sz w:val="28"/>
                <w:szCs w:val="28"/>
                <w:lang w:val="en-US" w:eastAsia="zh-CN"/>
              </w:rPr>
              <w:t>4</w:t>
            </w:r>
            <w:r>
              <w:rPr>
                <w:rFonts w:hint="eastAsia" w:ascii="黑体" w:hAnsi="黑体" w:eastAsia="黑体" w:cs="黑体"/>
                <w:sz w:val="28"/>
                <w:szCs w:val="28"/>
              </w:rPr>
              <w:t xml:space="preserve">  新业态新模式培育</w:t>
            </w:r>
            <w:r>
              <w:rPr>
                <w:rFonts w:hint="eastAsia" w:ascii="黑体" w:hAnsi="黑体" w:eastAsia="黑体" w:cs="黑体"/>
                <w:sz w:val="28"/>
                <w:szCs w:val="28"/>
                <w:lang w:val="en-US" w:eastAsia="zh-CN"/>
              </w:rPr>
              <w:t>重点</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数字生活。</w:t>
            </w:r>
            <w:r>
              <w:rPr>
                <w:rFonts w:hint="eastAsia" w:ascii="仿宋" w:hAnsi="仿宋" w:eastAsia="仿宋" w:cs="仿宋"/>
                <w:sz w:val="28"/>
                <w:szCs w:val="28"/>
              </w:rPr>
              <w:t>围绕与居民日常消费密切相关的“吃、喝、玩、乐、游、购、娱”全生态链，积极发展数字生活新服务，大力发展“网上菜场”“网上餐厅”“网上超市”等数字商贸业态，打造数字生活新服务标杆城市。加强供应链基础设施建设，围绕生产、采购、运输、仓储、批发、零售、配送</w:t>
            </w:r>
            <w:r>
              <w:rPr>
                <w:rFonts w:hint="eastAsia" w:ascii="仿宋" w:hAnsi="仿宋" w:eastAsia="仿宋" w:cs="仿宋"/>
                <w:sz w:val="28"/>
                <w:szCs w:val="28"/>
                <w:lang w:val="en-US" w:eastAsia="zh-CN"/>
              </w:rPr>
              <w:t>等</w:t>
            </w:r>
            <w:r>
              <w:rPr>
                <w:rFonts w:hint="eastAsia" w:ascii="仿宋" w:hAnsi="仿宋" w:eastAsia="仿宋" w:cs="仿宋"/>
                <w:sz w:val="28"/>
                <w:szCs w:val="28"/>
              </w:rPr>
              <w:t>环节，健全新服务业供应链。</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智慧旅游。</w:t>
            </w:r>
            <w:r>
              <w:rPr>
                <w:rFonts w:hint="eastAsia" w:ascii="仿宋" w:hAnsi="仿宋" w:eastAsia="仿宋" w:cs="仿宋"/>
                <w:sz w:val="28"/>
                <w:szCs w:val="28"/>
                <w:lang w:val="en-US" w:eastAsia="zh-CN"/>
              </w:rPr>
              <w:t>推进</w:t>
            </w:r>
            <w:r>
              <w:rPr>
                <w:rFonts w:hint="eastAsia" w:ascii="仿宋" w:hAnsi="仿宋" w:eastAsia="仿宋" w:cs="仿宋"/>
                <w:sz w:val="28"/>
                <w:szCs w:val="28"/>
              </w:rPr>
              <w:t>文旅设施智能化，推动大数据、VR/AR、人脸识别、高清直播等技术应用，提升食住行</w:t>
            </w:r>
            <w:r>
              <w:rPr>
                <w:rFonts w:hint="eastAsia" w:ascii="仿宋" w:hAnsi="仿宋" w:eastAsia="仿宋" w:cs="仿宋"/>
                <w:sz w:val="28"/>
                <w:szCs w:val="28"/>
                <w:lang w:val="en-US" w:eastAsia="zh-CN"/>
              </w:rPr>
              <w:t>游</w:t>
            </w:r>
            <w:r>
              <w:rPr>
                <w:rFonts w:hint="eastAsia" w:ascii="仿宋" w:hAnsi="仿宋" w:eastAsia="仿宋" w:cs="仿宋"/>
                <w:sz w:val="28"/>
                <w:szCs w:val="28"/>
              </w:rPr>
              <w:t>等应用场景数字化水平。加快文旅融合，做大做深楠溪江“宋文化”“瓯”文化，打造诗旅融合旅游专线。鼓励发展文旅直播</w:t>
            </w:r>
            <w:r>
              <w:rPr>
                <w:rFonts w:hint="eastAsia" w:ascii="仿宋" w:hAnsi="仿宋" w:eastAsia="仿宋" w:cs="仿宋"/>
                <w:sz w:val="28"/>
                <w:szCs w:val="28"/>
                <w:lang w:eastAsia="zh-CN"/>
              </w:rPr>
              <w:t>、</w:t>
            </w:r>
            <w:r>
              <w:rPr>
                <w:rFonts w:hint="eastAsia" w:ascii="仿宋" w:hAnsi="仿宋" w:eastAsia="仿宋" w:cs="仿宋"/>
                <w:sz w:val="28"/>
                <w:szCs w:val="28"/>
              </w:rPr>
              <w:t>农旅融合。</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ascii="仿宋" w:hAnsi="仿宋" w:eastAsia="仿宋" w:cs="仿宋"/>
                <w:sz w:val="28"/>
                <w:szCs w:val="28"/>
              </w:rPr>
            </w:pPr>
            <w:r>
              <w:rPr>
                <w:rFonts w:hint="eastAsia" w:ascii="仿宋" w:hAnsi="仿宋" w:eastAsia="仿宋" w:cs="仿宋"/>
                <w:b/>
                <w:bCs/>
                <w:sz w:val="28"/>
                <w:szCs w:val="28"/>
              </w:rPr>
              <w:t>智慧商圈。</w:t>
            </w:r>
            <w:r>
              <w:rPr>
                <w:rFonts w:hint="eastAsia" w:ascii="仿宋" w:hAnsi="仿宋" w:eastAsia="仿宋" w:cs="仿宋"/>
                <w:sz w:val="28"/>
                <w:szCs w:val="28"/>
              </w:rPr>
              <w:t>积极探索智慧商务、智慧营销、智慧设施、智慧服务、智慧管理等典型应用场景，</w:t>
            </w:r>
            <w:r>
              <w:rPr>
                <w:rFonts w:ascii="仿宋" w:hAnsi="仿宋" w:eastAsia="仿宋" w:cs="仿宋"/>
                <w:sz w:val="28"/>
                <w:szCs w:val="28"/>
              </w:rPr>
              <w:t>重点发展瓯北置诚广场商圈、上塘万潮广场商圈、中心广场商圈、三江立体城商圈、黄田高铁站前商圈、温乡城商圈、桥头维多利广场商圈，打造永嘉智慧商圈样本。</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新零售。</w:t>
            </w:r>
            <w:r>
              <w:rPr>
                <w:rFonts w:hint="eastAsia" w:ascii="仿宋" w:hAnsi="仿宋" w:eastAsia="仿宋" w:cs="仿宋"/>
                <w:b w:val="0"/>
                <w:bCs w:val="0"/>
                <w:sz w:val="28"/>
                <w:szCs w:val="28"/>
                <w:lang w:val="en-US" w:eastAsia="zh-CN"/>
              </w:rPr>
              <w:t>加快发展以供应链管理、品牌建设、线上线下一体为特征的新零售。</w:t>
            </w:r>
            <w:r>
              <w:rPr>
                <w:rFonts w:hint="eastAsia" w:ascii="仿宋" w:hAnsi="仿宋" w:eastAsia="仿宋" w:cs="仿宋"/>
                <w:sz w:val="28"/>
                <w:szCs w:val="28"/>
              </w:rPr>
              <w:t>推广无人超市、智能便利店、无人售货机等新零售模式，在商场、医院、学校、农贸市场等场所推广使用移动支付。</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夜间经济</w:t>
            </w:r>
            <w:r>
              <w:rPr>
                <w:rFonts w:hint="eastAsia" w:ascii="仿宋" w:hAnsi="仿宋" w:eastAsia="仿宋" w:cs="仿宋"/>
                <w:b/>
                <w:bCs/>
                <w:sz w:val="28"/>
                <w:szCs w:val="28"/>
                <w:lang w:eastAsia="zh-CN"/>
              </w:rPr>
              <w:t>。</w:t>
            </w:r>
            <w:r>
              <w:rPr>
                <w:rFonts w:hint="eastAsia" w:ascii="仿宋" w:hAnsi="仿宋" w:eastAsia="仿宋" w:cs="仿宋"/>
                <w:sz w:val="28"/>
                <w:szCs w:val="28"/>
              </w:rPr>
              <w:t>持续打造“夜游楠溪”品牌，</w:t>
            </w:r>
            <w:r>
              <w:rPr>
                <w:rFonts w:hint="eastAsia" w:ascii="仿宋" w:hAnsi="仿宋" w:eastAsia="仿宋" w:cs="仿宋"/>
                <w:sz w:val="28"/>
                <w:szCs w:val="28"/>
                <w:lang w:val="en-US" w:eastAsia="zh-CN"/>
              </w:rPr>
              <w:t>建设</w:t>
            </w:r>
            <w:r>
              <w:rPr>
                <w:rFonts w:hint="eastAsia" w:ascii="仿宋" w:hAnsi="仿宋" w:eastAsia="仿宋" w:cs="仿宋"/>
                <w:sz w:val="28"/>
                <w:szCs w:val="28"/>
              </w:rPr>
              <w:t>一批夜间文旅消费集聚区；充分挖掘本地特色资源，丰富夜间经济消费业态，优化夜间经济发展环境，努力打造全省乡村夜间经济示范地。</w:t>
            </w:r>
          </w:p>
        </w:tc>
      </w:tr>
    </w:tbl>
    <w:p>
      <w:pPr>
        <w:pStyle w:val="27"/>
        <w:keepNext w:val="0"/>
        <w:keepLines w:val="0"/>
        <w:pageBreakBefore w:val="0"/>
        <w:kinsoku/>
        <w:wordWrap/>
        <w:overflowPunct/>
        <w:topLinePunct w:val="0"/>
        <w:autoSpaceDE/>
        <w:autoSpaceDN/>
        <w:bidi w:val="0"/>
        <w:adjustRightInd/>
        <w:spacing w:before="190" w:beforeLines="50" w:after="190" w:afterLines="50" w:line="560" w:lineRule="exact"/>
        <w:ind w:firstLine="643"/>
        <w:textAlignment w:val="auto"/>
        <w:outlineLvl w:val="2"/>
        <w:rPr>
          <w:rFonts w:hint="eastAsia" w:ascii="仿宋" w:hAnsi="仿宋" w:eastAsia="仿宋" w:cs="仿宋"/>
          <w:b/>
          <w:bCs/>
          <w:kern w:val="2"/>
          <w:sz w:val="32"/>
          <w:szCs w:val="32"/>
          <w:lang w:val="en-US" w:eastAsia="zh-CN"/>
        </w:rPr>
      </w:pPr>
      <w:bookmarkStart w:id="859" w:name="_Toc30437"/>
      <w:bookmarkStart w:id="860" w:name="_Toc32568"/>
      <w:bookmarkStart w:id="861" w:name="_Toc9490"/>
      <w:r>
        <w:rPr>
          <w:rFonts w:hint="eastAsia" w:ascii="仿宋" w:hAnsi="仿宋" w:eastAsia="仿宋" w:cs="仿宋"/>
          <w:b/>
          <w:bCs/>
          <w:kern w:val="2"/>
          <w:sz w:val="32"/>
          <w:szCs w:val="32"/>
          <w:lang w:val="en-US" w:eastAsia="zh-CN"/>
        </w:rPr>
        <w:t>3.全速推动农业数字化转型</w:t>
      </w:r>
      <w:bookmarkEnd w:id="859"/>
      <w:bookmarkEnd w:id="860"/>
      <w:bookmarkEnd w:id="861"/>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bCs/>
          <w:kern w:val="0"/>
          <w:sz w:val="32"/>
          <w:szCs w:val="32"/>
        </w:rPr>
      </w:pPr>
      <w:r>
        <w:rPr>
          <w:rFonts w:hint="eastAsia" w:ascii="仿宋" w:hAnsi="仿宋" w:eastAsia="仿宋" w:cs="仿宋_GB2312"/>
          <w:b/>
          <w:bCs w:val="0"/>
          <w:kern w:val="0"/>
          <w:sz w:val="32"/>
          <w:szCs w:val="32"/>
          <w:lang w:val="en-US" w:eastAsia="zh-CN"/>
        </w:rPr>
        <w:t>（1）推进农业智能化生产。</w:t>
      </w:r>
      <w:r>
        <w:rPr>
          <w:rFonts w:hint="eastAsia" w:ascii="仿宋" w:hAnsi="仿宋" w:eastAsia="仿宋" w:cs="仿宋_GB2312"/>
          <w:bCs/>
          <w:kern w:val="0"/>
          <w:sz w:val="32"/>
          <w:szCs w:val="32"/>
        </w:rPr>
        <w:t>推进数字技术在种植业、畜牧业、农机和农产品加工销售等领域的应用，</w:t>
      </w:r>
      <w:r>
        <w:rPr>
          <w:rFonts w:hint="eastAsia" w:ascii="仿宋" w:hAnsi="仿宋" w:eastAsia="仿宋" w:cs="仿宋_GB2312"/>
          <w:bCs/>
          <w:kern w:val="0"/>
          <w:sz w:val="32"/>
          <w:szCs w:val="32"/>
          <w:lang w:val="en-US" w:eastAsia="zh-CN"/>
        </w:rPr>
        <w:t>推进</w:t>
      </w:r>
      <w:r>
        <w:rPr>
          <w:rFonts w:hint="eastAsia" w:ascii="仿宋" w:hAnsi="仿宋" w:eastAsia="仿宋" w:cs="仿宋_GB2312"/>
          <w:bCs/>
          <w:kern w:val="0"/>
          <w:sz w:val="32"/>
          <w:szCs w:val="32"/>
        </w:rPr>
        <w:t>农业生产经营、流通营销、农旅产业等数字化</w:t>
      </w:r>
      <w:r>
        <w:rPr>
          <w:rFonts w:hint="eastAsia" w:ascii="仿宋" w:hAnsi="仿宋" w:eastAsia="仿宋" w:cs="仿宋_GB2312"/>
          <w:bCs/>
          <w:kern w:val="0"/>
          <w:sz w:val="32"/>
          <w:szCs w:val="32"/>
          <w:lang w:val="en-US" w:eastAsia="zh-CN"/>
        </w:rPr>
        <w:t>转型</w:t>
      </w:r>
      <w:r>
        <w:rPr>
          <w:rFonts w:hint="eastAsia" w:ascii="仿宋" w:hAnsi="仿宋" w:eastAsia="仿宋" w:cs="仿宋_GB2312"/>
          <w:bCs/>
          <w:kern w:val="0"/>
          <w:sz w:val="32"/>
          <w:szCs w:val="32"/>
        </w:rPr>
        <w:t>，加快农机智能终端装备的配备应用，推进数字技术装备的系统集成与综合应用。</w:t>
      </w:r>
      <w:r>
        <w:rPr>
          <w:rFonts w:hint="eastAsia" w:ascii="仿宋" w:hAnsi="仿宋" w:eastAsia="仿宋" w:cs="仿宋_GB2312"/>
          <w:kern w:val="0"/>
          <w:sz w:val="32"/>
          <w:szCs w:val="32"/>
        </w:rPr>
        <w:t>推进数字化农业工厂和园区建设，引导有实力的经营主体建设数字植物工厂、养殖工厂、育种工厂。</w:t>
      </w:r>
      <w:r>
        <w:rPr>
          <w:rFonts w:hint="eastAsia" w:ascii="仿宋" w:hAnsi="仿宋" w:eastAsia="仿宋" w:cs="仿宋_GB2312"/>
          <w:bCs/>
          <w:kern w:val="0"/>
          <w:sz w:val="32"/>
          <w:szCs w:val="32"/>
        </w:rPr>
        <w:t>力争</w:t>
      </w:r>
      <w:r>
        <w:rPr>
          <w:rFonts w:hint="eastAsia" w:ascii="仿宋" w:hAnsi="仿宋" w:eastAsia="仿宋" w:cs="仿宋_GB2312"/>
          <w:bCs/>
          <w:kern w:val="0"/>
          <w:sz w:val="32"/>
          <w:szCs w:val="32"/>
          <w:lang w:val="en-US" w:eastAsia="zh-CN"/>
        </w:rPr>
        <w:t>到2025年，</w:t>
      </w:r>
      <w:r>
        <w:rPr>
          <w:rFonts w:hint="eastAsia" w:ascii="仿宋" w:hAnsi="仿宋" w:eastAsia="仿宋" w:cs="仿宋_GB2312"/>
          <w:bCs/>
          <w:kern w:val="0"/>
          <w:sz w:val="32"/>
          <w:szCs w:val="32"/>
        </w:rPr>
        <w:t>创建数字农业工厂</w:t>
      </w:r>
      <w:r>
        <w:rPr>
          <w:rFonts w:hint="eastAsia" w:ascii="仿宋" w:hAnsi="仿宋" w:eastAsia="仿宋" w:cs="仿宋_GB2312"/>
          <w:bCs/>
          <w:kern w:val="0"/>
          <w:sz w:val="32"/>
          <w:szCs w:val="32"/>
          <w:lang w:val="en-US" w:eastAsia="zh-CN"/>
        </w:rPr>
        <w:t>3</w:t>
      </w:r>
      <w:r>
        <w:rPr>
          <w:rFonts w:hint="eastAsia" w:ascii="仿宋" w:hAnsi="仿宋" w:eastAsia="仿宋" w:cs="仿宋_GB2312"/>
          <w:bCs/>
          <w:kern w:val="0"/>
          <w:sz w:val="32"/>
          <w:szCs w:val="32"/>
        </w:rPr>
        <w:t>个，培育一批大田数字农业和数字农业园区。</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bCs/>
          <w:kern w:val="0"/>
          <w:sz w:val="32"/>
          <w:szCs w:val="32"/>
        </w:rPr>
      </w:pPr>
      <w:r>
        <w:rPr>
          <w:rFonts w:hint="eastAsia" w:ascii="仿宋" w:hAnsi="仿宋" w:eastAsia="仿宋" w:cs="仿宋_GB2312"/>
          <w:b/>
          <w:bCs w:val="0"/>
          <w:kern w:val="0"/>
          <w:sz w:val="32"/>
          <w:szCs w:val="32"/>
          <w:lang w:val="en-US" w:eastAsia="zh-CN"/>
        </w:rPr>
        <w:t>（2）加快推进农村电商发展。</w:t>
      </w:r>
      <w:r>
        <w:rPr>
          <w:rFonts w:hint="eastAsia" w:ascii="仿宋" w:hAnsi="仿宋" w:eastAsia="仿宋" w:cs="仿宋_GB2312"/>
          <w:bCs/>
          <w:kern w:val="0"/>
          <w:sz w:val="32"/>
          <w:szCs w:val="32"/>
          <w:lang w:val="en-US" w:eastAsia="zh-CN"/>
        </w:rPr>
        <w:t>推进</w:t>
      </w:r>
      <w:r>
        <w:rPr>
          <w:rFonts w:hint="eastAsia" w:ascii="仿宋" w:hAnsi="仿宋" w:eastAsia="仿宋" w:cs="仿宋_GB2312"/>
          <w:bCs/>
          <w:kern w:val="0"/>
          <w:sz w:val="32"/>
          <w:szCs w:val="32"/>
        </w:rPr>
        <w:t>国家级电子商务进农村示范县建设，打造电商公共服务中心。构建县、乡、村三级物流体系，实现农产品上行和消费品下行双向统仓共配，完善农村物流末端网络建设，实现“最后一公里”配送。积极探索“农特产品+新媒体内容营销+直播+电商平台”营销模式，推进永嘉农特产品进省城，实现“村货进城”。策划和开发“一村一品”，打造具有竞争优势的农村电商特色产业。</w:t>
      </w:r>
    </w:p>
    <w:p>
      <w:pPr>
        <w:keepNext w:val="0"/>
        <w:keepLines w:val="0"/>
        <w:pageBreakBefore w:val="0"/>
        <w:widowControl/>
        <w:kinsoku/>
        <w:wordWrap/>
        <w:overflowPunct/>
        <w:topLinePunct w:val="0"/>
        <w:autoSpaceDE/>
        <w:autoSpaceDN/>
        <w:bidi w:val="0"/>
        <w:adjustRightInd/>
        <w:spacing w:line="560" w:lineRule="exact"/>
        <w:ind w:firstLine="640"/>
        <w:textAlignment w:val="auto"/>
        <w:outlineLvl w:val="9"/>
        <w:rPr>
          <w:rFonts w:hint="eastAsia" w:ascii="仿宋" w:hAnsi="仿宋" w:eastAsia="仿宋" w:cs="仿宋_GB2312"/>
          <w:kern w:val="0"/>
          <w:sz w:val="32"/>
          <w:szCs w:val="32"/>
        </w:rPr>
      </w:pPr>
      <w:r>
        <w:rPr>
          <w:rFonts w:hint="eastAsia" w:ascii="仿宋" w:hAnsi="仿宋" w:eastAsia="仿宋" w:cs="仿宋_GB2312"/>
          <w:b/>
          <w:bCs/>
          <w:kern w:val="0"/>
          <w:sz w:val="32"/>
          <w:szCs w:val="32"/>
          <w:lang w:val="en-US" w:eastAsia="zh-CN"/>
        </w:rPr>
        <w:t>（3）推进农业管理数字化。</w:t>
      </w:r>
      <w:r>
        <w:rPr>
          <w:rFonts w:hint="eastAsia" w:ascii="仿宋" w:hAnsi="仿宋" w:eastAsia="仿宋" w:cs="仿宋_GB2312"/>
          <w:kern w:val="0"/>
          <w:sz w:val="32"/>
          <w:szCs w:val="32"/>
          <w:lang w:val="en-US" w:eastAsia="zh-CN"/>
        </w:rPr>
        <w:t>完善农产品质量安全追溯系统和农业投入品管理系统，探索区块链等数字技术在质量安全溯源、透明供应链等领域的应用。</w:t>
      </w:r>
      <w:r>
        <w:rPr>
          <w:rFonts w:hint="eastAsia" w:ascii="仿宋" w:hAnsi="仿宋" w:eastAsia="仿宋" w:cs="仿宋_GB2312"/>
          <w:kern w:val="0"/>
          <w:sz w:val="32"/>
          <w:szCs w:val="32"/>
        </w:rPr>
        <w:t>基于“浙农码”数据总仓，建立码管理机制，对发码对象（农业监管部门、农村主体、农产品、生产要素）形成县、镇、村3级一档一码管理。</w:t>
      </w:r>
    </w:p>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sz w:val="32"/>
          <w:szCs w:val="32"/>
        </w:rPr>
      </w:pPr>
      <w:bookmarkStart w:id="862" w:name="_Toc28237"/>
      <w:bookmarkStart w:id="863" w:name="_Toc10499"/>
      <w:bookmarkStart w:id="864" w:name="_Toc16168"/>
      <w:r>
        <w:rPr>
          <w:rFonts w:hint="eastAsia" w:ascii="楷体" w:hAnsi="楷体" w:eastAsia="楷体" w:cs="楷体"/>
          <w:sz w:val="32"/>
          <w:szCs w:val="32"/>
        </w:rPr>
        <w:t>（三）加快治理数字化，推动全方位数字化变革</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62"/>
      <w:bookmarkEnd w:id="863"/>
      <w:bookmarkEnd w:id="864"/>
    </w:p>
    <w:p>
      <w:pPr>
        <w:pStyle w:val="24"/>
        <w:keepNext w:val="0"/>
        <w:keepLines w:val="0"/>
        <w:pageBreakBefore w:val="0"/>
        <w:kinsoku/>
        <w:wordWrap/>
        <w:overflowPunct/>
        <w:topLinePunct w:val="0"/>
        <w:autoSpaceDE/>
        <w:autoSpaceDN/>
        <w:bidi w:val="0"/>
        <w:adjustRightInd/>
        <w:spacing w:before="190" w:beforeLines="50" w:beforeAutospacing="0" w:after="190" w:afterLines="50" w:afterAutospacing="0" w:line="560" w:lineRule="exact"/>
        <w:ind w:firstLine="641"/>
        <w:textAlignment w:val="auto"/>
        <w:outlineLvl w:val="2"/>
        <w:rPr>
          <w:rFonts w:hint="default" w:ascii="仿宋" w:hAnsi="仿宋" w:eastAsia="仿宋" w:cs="仿宋_GB2312"/>
          <w:b/>
          <w:bCs/>
          <w:kern w:val="0"/>
          <w:sz w:val="32"/>
          <w:szCs w:val="32"/>
          <w:highlight w:val="none"/>
          <w:lang w:val="en-US" w:eastAsia="zh-CN"/>
        </w:rPr>
      </w:pPr>
      <w:bookmarkStart w:id="865" w:name="_Toc11790"/>
      <w:bookmarkStart w:id="866" w:name="_Toc4411"/>
      <w:bookmarkStart w:id="867" w:name="_Toc9479"/>
      <w:bookmarkStart w:id="868" w:name="_Toc5008"/>
      <w:bookmarkStart w:id="869" w:name="_Toc5681"/>
      <w:bookmarkStart w:id="870" w:name="_Toc31968"/>
      <w:bookmarkStart w:id="871" w:name="_Toc31221"/>
      <w:bookmarkStart w:id="872" w:name="_Toc457"/>
      <w:bookmarkStart w:id="873" w:name="_Toc15325"/>
      <w:bookmarkStart w:id="874" w:name="_Toc13770"/>
      <w:bookmarkStart w:id="875" w:name="_Toc31029"/>
      <w:bookmarkStart w:id="876" w:name="_Toc11605"/>
      <w:bookmarkStart w:id="877" w:name="_Toc27851"/>
      <w:bookmarkStart w:id="878" w:name="_Toc13469"/>
      <w:bookmarkStart w:id="879" w:name="_Toc5542"/>
      <w:bookmarkStart w:id="880" w:name="_Toc25439"/>
      <w:bookmarkStart w:id="881" w:name="_Toc10185"/>
      <w:bookmarkStart w:id="882" w:name="_Toc7949"/>
      <w:bookmarkStart w:id="883" w:name="_Toc29127"/>
      <w:bookmarkStart w:id="884" w:name="_Toc26658"/>
      <w:bookmarkStart w:id="885" w:name="_Toc29365"/>
      <w:bookmarkStart w:id="886" w:name="_Toc18632"/>
      <w:bookmarkStart w:id="887" w:name="_Toc5770"/>
      <w:bookmarkStart w:id="888" w:name="_Toc3472"/>
      <w:bookmarkStart w:id="889" w:name="_Toc30146"/>
      <w:bookmarkStart w:id="890" w:name="_Toc21587"/>
      <w:bookmarkStart w:id="891" w:name="_Toc7659"/>
      <w:bookmarkStart w:id="892" w:name="_Toc359"/>
      <w:bookmarkStart w:id="893" w:name="_Toc15827"/>
      <w:bookmarkStart w:id="894" w:name="_Toc25665"/>
      <w:bookmarkStart w:id="895" w:name="_Toc5911"/>
      <w:bookmarkStart w:id="896" w:name="_Toc2176"/>
      <w:bookmarkStart w:id="897" w:name="_Toc4338"/>
      <w:r>
        <w:rPr>
          <w:rFonts w:hint="eastAsia" w:ascii="仿宋" w:hAnsi="仿宋" w:eastAsia="仿宋" w:cs="仿宋_GB2312"/>
          <w:b/>
          <w:bCs/>
          <w:kern w:val="0"/>
          <w:sz w:val="32"/>
          <w:szCs w:val="32"/>
          <w:highlight w:val="none"/>
          <w:lang w:val="en-US" w:eastAsia="zh-CN"/>
        </w:rPr>
        <w:t>1.搭建数字治理基础平台</w:t>
      </w:r>
      <w:bookmarkEnd w:id="865"/>
      <w:bookmarkEnd w:id="866"/>
      <w:bookmarkEnd w:id="867"/>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b w:val="0"/>
          <w:bCs w:val="0"/>
          <w:kern w:val="0"/>
          <w:sz w:val="32"/>
          <w:szCs w:val="32"/>
          <w:lang w:val="en-US"/>
        </w:rPr>
      </w:pPr>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lang w:val="en-US"/>
        </w:rPr>
        <w:t>推进一体化智能化公共数据平台建设</w:t>
      </w:r>
      <w:r>
        <w:rPr>
          <w:rFonts w:hint="eastAsia" w:ascii="仿宋" w:hAnsi="仿宋" w:eastAsia="仿宋" w:cs="仿宋_GB2312"/>
          <w:b/>
          <w:bCs/>
          <w:kern w:val="0"/>
          <w:sz w:val="32"/>
          <w:szCs w:val="32"/>
          <w:lang w:val="en-US" w:eastAsia="zh-CN"/>
        </w:rPr>
        <w:t>。</w:t>
      </w:r>
      <w:r>
        <w:rPr>
          <w:rFonts w:hint="eastAsia" w:ascii="仿宋" w:hAnsi="仿宋" w:eastAsia="仿宋" w:cs="仿宋_GB2312"/>
          <w:b w:val="0"/>
          <w:bCs w:val="0"/>
          <w:kern w:val="0"/>
          <w:sz w:val="32"/>
          <w:szCs w:val="32"/>
          <w:lang w:val="en-US"/>
        </w:rPr>
        <w:t>围绕数字化改革决策部署，深入对接省、市一体化智能化公共数据平台，建设“四横四纵”八大体系和“浙里办”“浙政钉”两个终端，打造健壮稳定、集约高效、安全可信、开放兼容的一体化智能化公共数据平台，实现数据资源</w:t>
      </w:r>
      <w:r>
        <w:rPr>
          <w:rFonts w:hint="eastAsia" w:ascii="仿宋" w:hAnsi="仿宋" w:eastAsia="仿宋" w:cs="仿宋_GB2312"/>
          <w:b w:val="0"/>
          <w:bCs w:val="0"/>
          <w:kern w:val="0"/>
          <w:sz w:val="32"/>
          <w:szCs w:val="32"/>
          <w:lang w:val="en-US" w:eastAsia="zh-CN"/>
        </w:rPr>
        <w:t>的</w:t>
      </w:r>
      <w:r>
        <w:rPr>
          <w:rFonts w:hint="eastAsia" w:ascii="仿宋" w:hAnsi="仿宋" w:eastAsia="仿宋" w:cs="仿宋_GB2312"/>
          <w:b w:val="0"/>
          <w:bCs w:val="0"/>
          <w:kern w:val="0"/>
          <w:sz w:val="32"/>
          <w:szCs w:val="32"/>
          <w:lang w:val="en-US"/>
        </w:rPr>
        <w:t>高效率配置，有效支撑党政机关整体智治、数字政府、数字经济、数字社会、数字法治全领域改革，全面支撑全领域、全主体、全周期数字化改革需求。</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lang w:val="en-US"/>
        </w:rPr>
      </w:pPr>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lang w:val="en-US"/>
        </w:rPr>
        <w:t>加强“浙里办”“浙政钉”两个前端建设</w:t>
      </w:r>
      <w:r>
        <w:rPr>
          <w:rFonts w:hint="eastAsia" w:ascii="仿宋" w:hAnsi="仿宋" w:eastAsia="仿宋" w:cs="仿宋_GB2312"/>
          <w:b/>
          <w:bCs/>
          <w:kern w:val="0"/>
          <w:sz w:val="32"/>
          <w:szCs w:val="32"/>
          <w:lang w:val="en-US" w:eastAsia="zh-CN"/>
        </w:rPr>
        <w:t>与应用</w:t>
      </w:r>
      <w:r>
        <w:rPr>
          <w:rFonts w:hint="eastAsia" w:ascii="仿宋" w:hAnsi="仿宋" w:eastAsia="仿宋" w:cs="仿宋_GB2312"/>
          <w:b/>
          <w:bCs/>
          <w:kern w:val="0"/>
          <w:sz w:val="32"/>
          <w:szCs w:val="32"/>
          <w:lang w:val="en-US"/>
        </w:rPr>
        <w:t>。</w:t>
      </w:r>
      <w:r>
        <w:rPr>
          <w:rFonts w:hint="eastAsia" w:ascii="仿宋" w:hAnsi="仿宋" w:eastAsia="仿宋" w:cs="仿宋_GB2312"/>
          <w:kern w:val="0"/>
          <w:sz w:val="32"/>
          <w:szCs w:val="32"/>
          <w:lang w:val="en-US"/>
        </w:rPr>
        <w:t>拓展应用“浙里办”</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lang w:val="en-US"/>
        </w:rPr>
        <w:t>全面融合便民惠企高频刚需服务</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lang w:val="en-US"/>
        </w:rPr>
        <w:t>重点推进县级城市频道建设，推出本地特色服务，实现一端集成、一网通办。拓展应用“浙政钉”</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lang w:val="en-US"/>
        </w:rPr>
        <w:t>为各类数字政府应用提供统一的用户体系、工作流、电子签章、密码服务等公共支撑服务组件，实现通讯录安全可控、文档高效协同、政企互联互通。</w:t>
      </w:r>
    </w:p>
    <w:p>
      <w:pPr>
        <w:pStyle w:val="24"/>
        <w:keepNext w:val="0"/>
        <w:keepLines w:val="0"/>
        <w:pageBreakBefore w:val="0"/>
        <w:kinsoku/>
        <w:wordWrap/>
        <w:overflowPunct/>
        <w:topLinePunct w:val="0"/>
        <w:autoSpaceDE/>
        <w:autoSpaceDN/>
        <w:bidi w:val="0"/>
        <w:adjustRightInd/>
        <w:spacing w:before="192" w:beforeLines="50" w:beforeAutospacing="0" w:after="192" w:afterLines="50" w:afterAutospacing="0" w:line="560" w:lineRule="exact"/>
        <w:ind w:firstLine="641"/>
        <w:textAlignment w:val="auto"/>
        <w:outlineLvl w:val="2"/>
        <w:rPr>
          <w:rFonts w:hint="eastAsia" w:ascii="仿宋" w:hAnsi="仿宋" w:eastAsia="仿宋" w:cs="仿宋_GB2312"/>
          <w:b/>
          <w:bCs/>
          <w:kern w:val="0"/>
          <w:sz w:val="32"/>
          <w:szCs w:val="32"/>
          <w:lang w:val="en-US" w:eastAsia="zh-CN"/>
        </w:rPr>
      </w:pPr>
      <w:bookmarkStart w:id="898" w:name="_Toc4052"/>
      <w:bookmarkStart w:id="899" w:name="_Toc7057"/>
      <w:bookmarkStart w:id="900" w:name="_Toc3324"/>
      <w:r>
        <w:rPr>
          <w:rFonts w:hint="eastAsia" w:ascii="仿宋" w:hAnsi="仿宋" w:eastAsia="仿宋" w:cs="仿宋_GB2312"/>
          <w:b/>
          <w:bCs/>
          <w:kern w:val="0"/>
          <w:sz w:val="32"/>
          <w:szCs w:val="32"/>
          <w:lang w:val="en-US" w:eastAsia="zh-CN"/>
        </w:rPr>
        <w:t>2.提升政府整体智治能力</w:t>
      </w:r>
      <w:bookmarkEnd w:id="898"/>
      <w:bookmarkEnd w:id="899"/>
      <w:bookmarkEnd w:id="900"/>
    </w:p>
    <w:p>
      <w:pPr>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hAnsi="仿宋" w:eastAsia="仿宋" w:cs="仿宋_GB2312"/>
          <w:b w:val="0"/>
          <w:bCs w:val="0"/>
          <w:kern w:val="0"/>
          <w:sz w:val="32"/>
          <w:szCs w:val="32"/>
          <w:lang w:val="en-US" w:eastAsia="zh-CN"/>
        </w:rPr>
      </w:pPr>
      <w:r>
        <w:rPr>
          <w:rFonts w:hint="eastAsia" w:ascii="仿宋" w:hAnsi="仿宋" w:eastAsia="仿宋" w:cs="仿宋_GB2312"/>
          <w:b/>
          <w:bCs/>
          <w:kern w:val="0"/>
          <w:sz w:val="32"/>
          <w:szCs w:val="32"/>
          <w:lang w:val="en-US" w:eastAsia="zh-CN"/>
        </w:rPr>
        <w:t>（1）推进政府数字化服务能力提升。</w:t>
      </w:r>
      <w:r>
        <w:rPr>
          <w:rFonts w:hint="eastAsia" w:ascii="仿宋" w:hAnsi="仿宋" w:eastAsia="仿宋" w:cs="仿宋_GB2312"/>
          <w:b w:val="0"/>
          <w:bCs w:val="0"/>
          <w:kern w:val="0"/>
          <w:sz w:val="32"/>
          <w:szCs w:val="32"/>
          <w:lang w:val="en-US" w:eastAsia="zh-CN"/>
        </w:rPr>
        <w:t>推进全域数字化改革，以打造“数字赋能、整体智治”现代政府为理念，深化“最多跑一次”改革，构建新型数字政府。以机关内跑网办平台为主抓手，推行“互联网+政务服务”，建设并推行“智慧云办公”，打造“掌上办公之城”。深入推进“一件事”集成改革，拓宽创新“一件事”办事事项，落实线上线下联办，聚焦“稳企业、防风险、促改革、惠民生”等重点领域，谋划推进一批跨部门、跨业务综合集成创新的标志性项目，推进便民利企“一件事”全流程改革，建设“掌上办事之城”“掌上治理之城”。</w:t>
      </w:r>
    </w:p>
    <w:p>
      <w:pPr>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仿宋" w:hAnsi="仿宋" w:eastAsia="仿宋" w:cs="仿宋_GB2312"/>
          <w:b w:val="0"/>
          <w:bCs w:val="0"/>
          <w:kern w:val="0"/>
          <w:sz w:val="32"/>
          <w:szCs w:val="32"/>
          <w:lang w:val="en-US" w:eastAsia="zh-CN"/>
        </w:rPr>
      </w:pPr>
      <w:r>
        <w:rPr>
          <w:rFonts w:hint="eastAsia" w:ascii="仿宋" w:hAnsi="仿宋" w:eastAsia="仿宋" w:cs="仿宋_GB2312"/>
          <w:b/>
          <w:bCs/>
          <w:kern w:val="0"/>
          <w:sz w:val="32"/>
          <w:szCs w:val="32"/>
          <w:lang w:val="en-US" w:eastAsia="zh-CN"/>
        </w:rPr>
        <w:t>（2）提升政府经济治理能力。</w:t>
      </w:r>
      <w:r>
        <w:rPr>
          <w:rFonts w:hint="eastAsia" w:ascii="仿宋" w:hAnsi="仿宋" w:eastAsia="仿宋" w:cs="仿宋_GB2312"/>
          <w:b w:val="0"/>
          <w:bCs w:val="0"/>
          <w:kern w:val="0"/>
          <w:sz w:val="32"/>
          <w:szCs w:val="32"/>
          <w:lang w:val="en-US" w:eastAsia="zh-CN"/>
        </w:rPr>
        <w:t>做好全省数字经济系统建设永嘉工作，提升政企协同能力。以“产业大脑+未来工厂”为核心，以资源要素配置、数字贸易中心、未来产业先导区及科技创新等建设为引领，推动产业链、创新链、供应链融合应用，实现资源要素的高效配置和经济社会的高效协同，形成全要素、全产业链、全价值链全面连接的数字经济运行系统，建成一批具有永嘉辨识度的创新场景，赋能高质量发展、竞争力提升、现代化先行，努力打造全市数字变革高地。</w:t>
      </w:r>
    </w:p>
    <w:p>
      <w:pPr>
        <w:pStyle w:val="27"/>
        <w:keepNext w:val="0"/>
        <w:keepLines w:val="0"/>
        <w:pageBreakBefore w:val="0"/>
        <w:kinsoku/>
        <w:wordWrap/>
        <w:overflowPunct/>
        <w:topLinePunct w:val="0"/>
        <w:autoSpaceDE/>
        <w:autoSpaceDN/>
        <w:bidi w:val="0"/>
        <w:adjustRightInd/>
        <w:spacing w:line="560" w:lineRule="exact"/>
        <w:textAlignment w:val="auto"/>
        <w:rPr>
          <w:rFonts w:hint="eastAsia"/>
          <w:lang w:val="en-US" w:eastAsia="zh-CN"/>
        </w:rPr>
      </w:pPr>
      <w:r>
        <w:rPr>
          <w:rFonts w:hint="eastAsia" w:ascii="仿宋" w:hAnsi="仿宋" w:eastAsia="仿宋" w:cs="仿宋_GB2312"/>
          <w:b/>
          <w:bCs/>
          <w:kern w:val="0"/>
          <w:sz w:val="32"/>
          <w:szCs w:val="32"/>
          <w:lang w:val="en-US" w:eastAsia="zh-CN"/>
        </w:rPr>
        <w:t>（3）</w:t>
      </w:r>
      <w:r>
        <w:rPr>
          <w:rFonts w:hint="eastAsia" w:ascii="仿宋" w:hAnsi="仿宋" w:eastAsia="仿宋" w:cs="仿宋_GB2312"/>
          <w:b/>
          <w:bCs/>
          <w:kern w:val="0"/>
          <w:sz w:val="32"/>
          <w:szCs w:val="32"/>
          <w:lang w:val="en-US"/>
        </w:rPr>
        <w:t>打造基层社会治理样板。</w:t>
      </w:r>
      <w:r>
        <w:rPr>
          <w:rFonts w:hint="eastAsia" w:ascii="仿宋" w:hAnsi="仿宋" w:eastAsia="仿宋" w:cs="仿宋_GB2312"/>
          <w:b w:val="0"/>
          <w:bCs w:val="0"/>
          <w:kern w:val="0"/>
          <w:sz w:val="32"/>
          <w:szCs w:val="32"/>
          <w:lang w:val="en-US"/>
        </w:rPr>
        <w:t>健全“综合指挥中心+四个平台+全科网络2.0版+基层‘微网格’”的县镇村三级治理架构，</w:t>
      </w:r>
      <w:r>
        <w:rPr>
          <w:rFonts w:hint="eastAsia" w:ascii="仿宋" w:hAnsi="仿宋" w:eastAsia="仿宋" w:cs="仿宋_GB2312"/>
          <w:b w:val="0"/>
          <w:bCs w:val="0"/>
          <w:kern w:val="0"/>
          <w:sz w:val="32"/>
          <w:szCs w:val="32"/>
          <w:lang w:val="en-US" w:eastAsia="zh-CN"/>
        </w:rPr>
        <w:t>推动网上网下协同治理</w:t>
      </w:r>
      <w:r>
        <w:rPr>
          <w:rFonts w:hint="eastAsia" w:ascii="仿宋" w:hAnsi="仿宋" w:eastAsia="仿宋" w:cs="仿宋_GB2312"/>
          <w:b w:val="0"/>
          <w:bCs w:val="0"/>
          <w:kern w:val="0"/>
          <w:sz w:val="32"/>
          <w:szCs w:val="32"/>
          <w:lang w:val="en-US"/>
        </w:rPr>
        <w:t>，推动基层事务在线运行、协同处理、闭环管理。深化“基层治理四平台”</w:t>
      </w:r>
      <w:r>
        <w:rPr>
          <w:rFonts w:hint="eastAsia" w:ascii="仿宋" w:hAnsi="仿宋" w:eastAsia="仿宋" w:cs="仿宋_GB2312"/>
          <w:b w:val="0"/>
          <w:bCs w:val="0"/>
          <w:kern w:val="0"/>
          <w:sz w:val="32"/>
          <w:szCs w:val="32"/>
          <w:lang w:val="en-US" w:eastAsia="zh-CN"/>
        </w:rPr>
        <w:t>、网络生态“瞭望哨”平台和</w:t>
      </w:r>
      <w:r>
        <w:rPr>
          <w:rFonts w:hint="eastAsia" w:ascii="仿宋" w:hAnsi="仿宋" w:eastAsia="仿宋" w:cs="仿宋_GB2312"/>
          <w:b w:val="0"/>
          <w:bCs w:val="0"/>
          <w:kern w:val="0"/>
          <w:sz w:val="32"/>
          <w:szCs w:val="32"/>
          <w:lang w:val="en-US"/>
        </w:rPr>
        <w:t>社会矛盾纠纷化解数字化应用建设。用好县级社会矛盾纠纷调处化解中心，完善多元预防调处化解综合机制，实现矛盾纠纷化解“只进一扇门”、信访“最多跑一地”。推进“雪亮工程”建设，推进社会治理精细化、精准化、智能化。</w:t>
      </w:r>
    </w:p>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Pr>
        <w:pStyle w:val="24"/>
        <w:keepNext w:val="0"/>
        <w:keepLines w:val="0"/>
        <w:pageBreakBefore w:val="0"/>
        <w:kinsoku/>
        <w:wordWrap/>
        <w:overflowPunct/>
        <w:topLinePunct w:val="0"/>
        <w:autoSpaceDE/>
        <w:autoSpaceDN/>
        <w:bidi w:val="0"/>
        <w:adjustRightInd/>
        <w:spacing w:before="192" w:beforeLines="50" w:beforeAutospacing="0" w:after="192" w:afterLines="50" w:afterAutospacing="0" w:line="560" w:lineRule="exact"/>
        <w:ind w:firstLine="641"/>
        <w:textAlignment w:val="auto"/>
        <w:outlineLvl w:val="2"/>
        <w:rPr>
          <w:rFonts w:ascii="仿宋" w:hAnsi="仿宋" w:eastAsia="仿宋" w:cs="仿宋_GB2312"/>
          <w:b/>
          <w:bCs/>
          <w:sz w:val="32"/>
          <w:szCs w:val="32"/>
        </w:rPr>
      </w:pPr>
      <w:bookmarkStart w:id="901" w:name="_Toc24358"/>
      <w:bookmarkStart w:id="902" w:name="_Toc23348"/>
      <w:bookmarkStart w:id="903" w:name="_Toc12234"/>
      <w:bookmarkStart w:id="904" w:name="_Toc12357"/>
      <w:bookmarkStart w:id="905" w:name="_Toc14541"/>
      <w:bookmarkStart w:id="906" w:name="_Toc16811"/>
      <w:bookmarkStart w:id="907" w:name="_Toc25720"/>
      <w:bookmarkStart w:id="908" w:name="_Toc4536"/>
      <w:bookmarkStart w:id="909" w:name="_Toc20571"/>
      <w:bookmarkStart w:id="910" w:name="_Toc25933"/>
      <w:bookmarkStart w:id="911" w:name="_Toc1817"/>
      <w:bookmarkStart w:id="912" w:name="_Toc18421"/>
      <w:bookmarkStart w:id="913" w:name="_Toc7334"/>
      <w:bookmarkStart w:id="914" w:name="_Toc16552"/>
      <w:bookmarkStart w:id="915" w:name="_Toc19127"/>
      <w:bookmarkStart w:id="916" w:name="_Toc14097"/>
      <w:bookmarkStart w:id="917" w:name="_Toc6608"/>
      <w:bookmarkStart w:id="918" w:name="_Toc26008"/>
      <w:bookmarkStart w:id="919" w:name="_Toc27668"/>
      <w:bookmarkStart w:id="920" w:name="_Toc25616"/>
      <w:bookmarkStart w:id="921" w:name="_Toc18139"/>
      <w:bookmarkStart w:id="922" w:name="_Toc3189"/>
      <w:bookmarkStart w:id="923" w:name="_Toc12447"/>
      <w:bookmarkStart w:id="924" w:name="_Toc13013"/>
      <w:bookmarkStart w:id="925" w:name="_Toc19208"/>
      <w:bookmarkStart w:id="926" w:name="_Toc18168"/>
      <w:bookmarkStart w:id="927" w:name="_Toc25944"/>
      <w:bookmarkStart w:id="928" w:name="_Toc5877"/>
      <w:bookmarkStart w:id="929" w:name="_Toc28943"/>
      <w:bookmarkStart w:id="930" w:name="_Toc8394"/>
      <w:bookmarkStart w:id="931" w:name="_Toc1398"/>
      <w:bookmarkStart w:id="932" w:name="_Toc22091"/>
      <w:bookmarkStart w:id="933" w:name="_Toc3308"/>
      <w:r>
        <w:rPr>
          <w:rFonts w:hint="eastAsia" w:ascii="仿宋" w:hAnsi="仿宋" w:eastAsia="仿宋" w:cs="仿宋_GB2312"/>
          <w:b/>
          <w:bCs/>
          <w:sz w:val="32"/>
          <w:szCs w:val="32"/>
          <w:lang w:val="en-US" w:eastAsia="zh-CN"/>
        </w:rPr>
        <w:t>3.加快民生领域数字化应用</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b w:val="0"/>
          <w:bCs w:val="0"/>
          <w:kern w:val="0"/>
          <w:sz w:val="32"/>
          <w:szCs w:val="32"/>
        </w:rPr>
      </w:pPr>
      <w:bookmarkStart w:id="934" w:name="_Toc534272205"/>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全面提升社会</w:t>
      </w:r>
      <w:r>
        <w:rPr>
          <w:rFonts w:hint="eastAsia" w:ascii="仿宋" w:hAnsi="仿宋" w:eastAsia="仿宋" w:cs="仿宋_GB2312"/>
          <w:b/>
          <w:bCs/>
          <w:kern w:val="0"/>
          <w:sz w:val="32"/>
          <w:szCs w:val="32"/>
          <w:lang w:val="en-US" w:eastAsia="zh-CN"/>
        </w:rPr>
        <w:t>民生</w:t>
      </w:r>
      <w:r>
        <w:rPr>
          <w:rFonts w:hint="eastAsia" w:ascii="仿宋" w:hAnsi="仿宋" w:eastAsia="仿宋" w:cs="仿宋_GB2312"/>
          <w:b/>
          <w:bCs/>
          <w:kern w:val="0"/>
          <w:sz w:val="32"/>
          <w:szCs w:val="32"/>
        </w:rPr>
        <w:t>领域数字化能力。</w:t>
      </w:r>
      <w:r>
        <w:rPr>
          <w:rFonts w:hint="eastAsia" w:ascii="仿宋" w:hAnsi="仿宋" w:eastAsia="仿宋" w:cs="仿宋_GB2312"/>
          <w:b w:val="0"/>
          <w:bCs w:val="0"/>
          <w:kern w:val="0"/>
          <w:sz w:val="32"/>
          <w:szCs w:val="32"/>
        </w:rPr>
        <w:t>围绕教育、</w:t>
      </w:r>
      <w:r>
        <w:rPr>
          <w:rFonts w:hint="eastAsia" w:ascii="仿宋" w:hAnsi="仿宋" w:eastAsia="仿宋" w:cs="仿宋_GB2312"/>
          <w:b w:val="0"/>
          <w:bCs w:val="0"/>
          <w:kern w:val="0"/>
          <w:sz w:val="32"/>
          <w:szCs w:val="32"/>
          <w:lang w:val="en-US" w:eastAsia="zh-CN"/>
        </w:rPr>
        <w:t>医疗、交通、</w:t>
      </w:r>
      <w:r>
        <w:rPr>
          <w:rFonts w:hint="eastAsia" w:ascii="仿宋" w:hAnsi="仿宋" w:eastAsia="仿宋" w:cs="仿宋_GB2312"/>
          <w:b w:val="0"/>
          <w:bCs w:val="0"/>
          <w:kern w:val="0"/>
          <w:sz w:val="32"/>
          <w:szCs w:val="32"/>
        </w:rPr>
        <w:t>就业、居住、文化、体育、旅游、养老、救助等领域，创造性探索“一件事”集成协同场景，持续推动公共场所服务提升，推进公共服务供给创新，完善优质公共服务资源统筹共享机制，大力推动基本公共服务均等化。</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全面迭代提升数字社会应用能力。</w:t>
      </w:r>
      <w:r>
        <w:rPr>
          <w:rFonts w:hint="eastAsia" w:ascii="仿宋" w:hAnsi="仿宋" w:eastAsia="仿宋" w:cs="仿宋_GB2312"/>
          <w:kern w:val="0"/>
          <w:sz w:val="32"/>
          <w:szCs w:val="32"/>
        </w:rPr>
        <w:t>以应用场景为牵引，以一体化智慧化公共数据平台为基础，完善提升数字社会应用支撑能力。充分运用大数据、人工智能等技术，实现全量、全时、全域感知，构建更加智能化的数字社会应用。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5" w:type="dxa"/>
          </w:tcPr>
          <w:p>
            <w:pPr>
              <w:pStyle w:val="71"/>
              <w:keepNext w:val="0"/>
              <w:keepLines w:val="0"/>
              <w:pageBreakBefore w:val="0"/>
              <w:kinsoku/>
              <w:wordWrap/>
              <w:overflowPunct/>
              <w:topLinePunct w:val="0"/>
              <w:autoSpaceDE/>
              <w:autoSpaceDN/>
              <w:bidi w:val="0"/>
              <w:adjustRightInd/>
              <w:spacing w:before="192" w:beforeLines="50" w:after="192" w:afterLines="50" w:line="560" w:lineRule="exact"/>
              <w:ind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专栏</w:t>
            </w:r>
            <w:r>
              <w:rPr>
                <w:rFonts w:hint="eastAsia" w:ascii="黑体" w:hAnsi="黑体" w:eastAsia="黑体" w:cs="黑体"/>
                <w:sz w:val="28"/>
                <w:szCs w:val="28"/>
                <w:lang w:val="en-US" w:eastAsia="zh-CN"/>
              </w:rPr>
              <w:t>5</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数字民生</w:t>
            </w:r>
            <w:r>
              <w:rPr>
                <w:rFonts w:hint="eastAsia" w:ascii="黑体" w:hAnsi="黑体" w:eastAsia="黑体" w:cs="黑体"/>
                <w:sz w:val="28"/>
                <w:szCs w:val="28"/>
              </w:rPr>
              <w:t>培育</w:t>
            </w:r>
            <w:r>
              <w:rPr>
                <w:rFonts w:hint="eastAsia" w:ascii="黑体" w:hAnsi="黑体" w:eastAsia="黑体" w:cs="黑体"/>
                <w:sz w:val="28"/>
                <w:szCs w:val="28"/>
                <w:lang w:val="en-US" w:eastAsia="zh-CN"/>
              </w:rPr>
              <w:t>重点</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sz w:val="28"/>
                <w:szCs w:val="28"/>
              </w:rPr>
            </w:pPr>
            <w:r>
              <w:rPr>
                <w:rFonts w:hint="eastAsia" w:ascii="仿宋" w:hAnsi="仿宋" w:eastAsia="仿宋" w:cs="仿宋"/>
                <w:b/>
                <w:bCs/>
                <w:sz w:val="28"/>
                <w:szCs w:val="28"/>
              </w:rPr>
              <w:t>智慧医疗卫生。</w:t>
            </w:r>
            <w:r>
              <w:rPr>
                <w:rFonts w:hint="eastAsia" w:ascii="仿宋" w:hAnsi="仿宋" w:eastAsia="仿宋" w:cs="仿宋"/>
                <w:sz w:val="28"/>
                <w:szCs w:val="28"/>
              </w:rPr>
              <w:t>推进全县人口信息、居民电子健康档案和电子病历三大数据库融合；构建人口健康信息平台，打造覆盖公共卫生、医疗服务、医疗保障、药品供应、计划生育和综合管理业务的医疗健康管理和服务大数据应用体系。探索永嘉本地医院与温州、杭州、上海等大城市医院合作模式，实现在线咨询和远程医疗</w:t>
            </w:r>
            <w:r>
              <w:rPr>
                <w:rFonts w:hint="eastAsia" w:ascii="仿宋" w:hAnsi="仿宋" w:eastAsia="仿宋" w:cs="仿宋"/>
                <w:sz w:val="28"/>
                <w:szCs w:val="28"/>
                <w:lang w:eastAsia="zh-CN"/>
              </w:rPr>
              <w:t>。</w:t>
            </w:r>
            <w:r>
              <w:rPr>
                <w:rFonts w:hint="eastAsia" w:ascii="仿宋" w:hAnsi="仿宋" w:eastAsia="仿宋" w:cs="仿宋"/>
                <w:sz w:val="28"/>
                <w:szCs w:val="28"/>
              </w:rPr>
              <w:t>推进县域医共体建设，健全“双下沉、两提升”长效机制。</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eastAsia" w:ascii="仿宋" w:hAnsi="仿宋" w:eastAsia="仿宋" w:cs="仿宋"/>
                <w:sz w:val="28"/>
                <w:szCs w:val="28"/>
              </w:rPr>
            </w:pPr>
            <w:r>
              <w:rPr>
                <w:rFonts w:hint="eastAsia" w:ascii="仿宋" w:hAnsi="仿宋" w:eastAsia="仿宋" w:cs="仿宋"/>
                <w:b/>
                <w:bCs/>
                <w:sz w:val="28"/>
                <w:szCs w:val="28"/>
              </w:rPr>
              <w:t>智慧交通出行。</w:t>
            </w:r>
            <w:r>
              <w:rPr>
                <w:rFonts w:hint="eastAsia" w:ascii="仿宋" w:hAnsi="仿宋" w:eastAsia="仿宋" w:cs="仿宋"/>
                <w:sz w:val="28"/>
                <w:szCs w:val="28"/>
              </w:rPr>
              <w:t>大力发展智慧交通和无车承运；</w:t>
            </w:r>
            <w:r>
              <w:rPr>
                <w:rFonts w:hint="eastAsia" w:ascii="仿宋" w:hAnsi="仿宋" w:eastAsia="仿宋" w:cs="仿宋"/>
                <w:sz w:val="28"/>
                <w:szCs w:val="28"/>
                <w:lang w:val="en-US" w:eastAsia="zh-CN"/>
              </w:rPr>
              <w:t>利用</w:t>
            </w:r>
            <w:r>
              <w:rPr>
                <w:rFonts w:hint="eastAsia" w:ascii="仿宋" w:hAnsi="仿宋" w:eastAsia="仿宋" w:cs="仿宋"/>
                <w:sz w:val="28"/>
                <w:szCs w:val="28"/>
              </w:rPr>
              <w:t>大数据提供出行信息服务、交通诱导服务等增值服务，优化交通基础设施规划设计，监测全县交通运输行业经济运行情况；深度挖掘使用移动位置数据、车流量数据等大数据应用平台，为道路交通管理、决策、预警等提供信息基础。</w:t>
            </w:r>
          </w:p>
          <w:p>
            <w:pPr>
              <w:pStyle w:val="71"/>
              <w:keepNext w:val="0"/>
              <w:keepLines w:val="0"/>
              <w:pageBreakBefore w:val="0"/>
              <w:kinsoku/>
              <w:wordWrap/>
              <w:overflowPunct/>
              <w:topLinePunct w:val="0"/>
              <w:autoSpaceDE/>
              <w:autoSpaceDN/>
              <w:bidi w:val="0"/>
              <w:adjustRightInd/>
              <w:spacing w:line="560" w:lineRule="exact"/>
              <w:ind w:firstLine="562"/>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智慧城管系统。</w:t>
            </w:r>
            <w:r>
              <w:rPr>
                <w:rFonts w:hint="eastAsia" w:ascii="仿宋" w:hAnsi="仿宋" w:eastAsia="仿宋" w:cs="仿宋"/>
                <w:sz w:val="28"/>
                <w:szCs w:val="28"/>
              </w:rPr>
              <w:t>进一步完善智慧城管系统，开发、升级业务受理、综合评价、车辆监控、路灯监控、视频监控、地下管网、全方位实时应急指挥、审批查询、公众参与、掌上办公、决策分析、移动督办、数据共享、巡查员管理、后台管理、办公自动化等功能。开发“城市管家”App，促进市民参与城市管理。</w:t>
            </w:r>
          </w:p>
        </w:tc>
      </w:tr>
      <w:bookmarkEnd w:id="934"/>
    </w:tbl>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sz w:val="32"/>
          <w:szCs w:val="32"/>
        </w:rPr>
      </w:pPr>
      <w:bookmarkStart w:id="935" w:name="_Toc10441"/>
      <w:bookmarkStart w:id="936" w:name="_Toc19020"/>
      <w:bookmarkStart w:id="937" w:name="_Toc32550"/>
      <w:bookmarkStart w:id="938" w:name="_Toc14676"/>
      <w:bookmarkStart w:id="939" w:name="_Toc5053"/>
      <w:bookmarkStart w:id="940" w:name="_Toc30945"/>
      <w:bookmarkStart w:id="941" w:name="_Toc21532"/>
      <w:bookmarkStart w:id="942" w:name="_Toc5487"/>
      <w:bookmarkStart w:id="943" w:name="_Toc16946"/>
      <w:bookmarkStart w:id="944" w:name="_Toc27871"/>
      <w:r>
        <w:rPr>
          <w:rFonts w:hint="eastAsia" w:ascii="楷体" w:hAnsi="楷体" w:eastAsia="楷体" w:cs="楷体"/>
          <w:sz w:val="32"/>
          <w:szCs w:val="32"/>
        </w:rPr>
        <w:t>（四）完善数字新基建，提高网络基层设施</w:t>
      </w:r>
      <w:bookmarkEnd w:id="935"/>
      <w:bookmarkEnd w:id="936"/>
      <w:bookmarkEnd w:id="937"/>
      <w:bookmarkEnd w:id="938"/>
      <w:bookmarkEnd w:id="939"/>
      <w:bookmarkEnd w:id="940"/>
      <w:bookmarkEnd w:id="941"/>
      <w:r>
        <w:rPr>
          <w:rFonts w:hint="eastAsia" w:ascii="楷体" w:hAnsi="楷体" w:eastAsia="楷体" w:cs="楷体"/>
          <w:sz w:val="32"/>
          <w:szCs w:val="32"/>
        </w:rPr>
        <w:t>水平</w:t>
      </w:r>
      <w:bookmarkEnd w:id="942"/>
      <w:bookmarkEnd w:id="943"/>
      <w:bookmarkEnd w:id="944"/>
    </w:p>
    <w:p>
      <w:pPr>
        <w:pStyle w:val="24"/>
        <w:keepNext w:val="0"/>
        <w:keepLines w:val="0"/>
        <w:pageBreakBefore w:val="0"/>
        <w:kinsoku/>
        <w:wordWrap/>
        <w:overflowPunct/>
        <w:topLinePunct w:val="0"/>
        <w:autoSpaceDE/>
        <w:autoSpaceDN/>
        <w:bidi w:val="0"/>
        <w:adjustRightInd/>
        <w:spacing w:before="190" w:beforeLines="50" w:beforeAutospacing="0" w:after="190" w:afterLines="50" w:afterAutospacing="0" w:line="560" w:lineRule="exact"/>
        <w:ind w:firstLine="643" w:firstLineChars="200"/>
        <w:textAlignment w:val="auto"/>
        <w:outlineLvl w:val="2"/>
        <w:rPr>
          <w:rFonts w:ascii="仿宋" w:hAnsi="仿宋" w:eastAsia="仿宋" w:cs="仿宋_GB2312"/>
          <w:b/>
          <w:bCs/>
          <w:sz w:val="32"/>
          <w:szCs w:val="32"/>
        </w:rPr>
      </w:pPr>
      <w:bookmarkStart w:id="945" w:name="_Toc5146"/>
      <w:bookmarkStart w:id="946" w:name="_Toc19216"/>
      <w:bookmarkStart w:id="947" w:name="_Toc27291"/>
      <w:bookmarkStart w:id="948" w:name="_Toc21134"/>
      <w:bookmarkStart w:id="949" w:name="_Toc8539"/>
      <w:bookmarkStart w:id="950" w:name="_Toc31502"/>
      <w:bookmarkStart w:id="951" w:name="_Toc20130"/>
      <w:bookmarkStart w:id="952" w:name="_Toc23679"/>
      <w:bookmarkStart w:id="953" w:name="_Toc16517"/>
      <w:bookmarkStart w:id="954" w:name="_Toc18539"/>
      <w:bookmarkStart w:id="955" w:name="_Toc27734"/>
      <w:bookmarkStart w:id="956" w:name="_Toc31048"/>
      <w:bookmarkStart w:id="957" w:name="_Toc16407"/>
      <w:bookmarkStart w:id="958" w:name="_Toc2018"/>
      <w:bookmarkStart w:id="959" w:name="_Toc7167"/>
      <w:bookmarkStart w:id="960" w:name="_Toc8904"/>
      <w:bookmarkStart w:id="961" w:name="_Toc27443"/>
      <w:bookmarkStart w:id="962" w:name="_Toc5907"/>
      <w:bookmarkStart w:id="963" w:name="_Toc3360"/>
      <w:bookmarkStart w:id="964" w:name="_Toc18770"/>
      <w:bookmarkStart w:id="965" w:name="_Toc19341"/>
      <w:bookmarkStart w:id="966" w:name="_Toc16111"/>
      <w:bookmarkStart w:id="967" w:name="_Toc20443"/>
      <w:bookmarkStart w:id="968" w:name="_Toc11362"/>
      <w:bookmarkStart w:id="969" w:name="_Toc9600"/>
      <w:bookmarkStart w:id="970" w:name="_Toc2112"/>
      <w:bookmarkStart w:id="971" w:name="_Toc15664"/>
      <w:bookmarkStart w:id="972" w:name="_Toc908"/>
      <w:bookmarkStart w:id="973" w:name="_Toc238"/>
      <w:bookmarkStart w:id="974" w:name="_Toc27964"/>
      <w:bookmarkStart w:id="975" w:name="_Toc11486"/>
      <w:bookmarkStart w:id="976" w:name="_Toc758"/>
      <w:bookmarkStart w:id="977" w:name="_Toc211"/>
      <w:bookmarkStart w:id="978" w:name="_Toc20929"/>
      <w:r>
        <w:rPr>
          <w:rFonts w:hint="eastAsia" w:ascii="仿宋" w:hAnsi="仿宋" w:eastAsia="仿宋" w:cs="仿宋_GB2312"/>
          <w:b/>
          <w:bCs/>
          <w:sz w:val="32"/>
          <w:szCs w:val="32"/>
        </w:rPr>
        <w:t>1.</w:t>
      </w:r>
      <w:r>
        <w:rPr>
          <w:rFonts w:hint="eastAsia" w:ascii="仿宋" w:hAnsi="仿宋" w:eastAsia="仿宋" w:cs="仿宋_GB2312"/>
          <w:b/>
          <w:bCs/>
          <w:sz w:val="32"/>
          <w:szCs w:val="32"/>
          <w:lang w:val="en-US" w:eastAsia="zh-CN"/>
        </w:rPr>
        <w:t>全面</w:t>
      </w:r>
      <w:r>
        <w:rPr>
          <w:rFonts w:hint="eastAsia" w:ascii="仿宋" w:hAnsi="仿宋" w:eastAsia="仿宋" w:cs="仿宋_GB2312"/>
          <w:b/>
          <w:bCs/>
          <w:sz w:val="32"/>
          <w:szCs w:val="32"/>
        </w:rPr>
        <w:t>推进5G网络建设和应用</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全面深化5G网络建设。</w:t>
      </w:r>
      <w:r>
        <w:rPr>
          <w:rFonts w:hint="eastAsia" w:ascii="仿宋" w:hAnsi="仿宋" w:eastAsia="仿宋" w:cs="仿宋_GB2312"/>
          <w:kern w:val="0"/>
          <w:sz w:val="32"/>
          <w:szCs w:val="32"/>
        </w:rPr>
        <w:t>推进5G基站建设，鼓励5G基站共建共享，整合存量设施，推进基站、铁塔、接入管道、光交箱体等基础设施共建共享。力争到2025年，建设5G基站2</w:t>
      </w:r>
      <w:r>
        <w:rPr>
          <w:rFonts w:hint="eastAsia" w:ascii="仿宋" w:hAnsi="仿宋" w:eastAsia="仿宋" w:cs="仿宋_GB2312"/>
          <w:kern w:val="0"/>
          <w:sz w:val="32"/>
          <w:szCs w:val="32"/>
          <w:lang w:val="en-US" w:eastAsia="zh-CN"/>
        </w:rPr>
        <w:t>75</w:t>
      </w:r>
      <w:r>
        <w:rPr>
          <w:rFonts w:hint="eastAsia" w:ascii="仿宋" w:hAnsi="仿宋" w:eastAsia="仿宋" w:cs="仿宋_GB2312"/>
          <w:kern w:val="0"/>
          <w:sz w:val="32"/>
          <w:szCs w:val="32"/>
        </w:rPr>
        <w:t>0个，实现5G网络在城区、乡镇和主要行政村的连续覆盖、厚覆盖，接入网速达到500Mbps。</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推动</w:t>
      </w:r>
      <w:r>
        <w:rPr>
          <w:rFonts w:ascii="仿宋" w:hAnsi="仿宋" w:eastAsia="仿宋" w:cs="仿宋_GB2312"/>
          <w:b/>
          <w:bCs/>
          <w:kern w:val="0"/>
          <w:sz w:val="32"/>
          <w:szCs w:val="32"/>
        </w:rPr>
        <w:t>5G</w:t>
      </w:r>
      <w:r>
        <w:rPr>
          <w:rFonts w:hint="eastAsia" w:ascii="仿宋" w:hAnsi="仿宋" w:eastAsia="仿宋" w:cs="仿宋_GB2312"/>
          <w:b/>
          <w:bCs/>
          <w:kern w:val="0"/>
          <w:sz w:val="32"/>
          <w:szCs w:val="32"/>
        </w:rPr>
        <w:t>与产业融合。</w:t>
      </w:r>
      <w:r>
        <w:rPr>
          <w:rFonts w:hint="eastAsia" w:ascii="仿宋" w:hAnsi="仿宋" w:eastAsia="仿宋" w:cs="仿宋_GB2312"/>
          <w:kern w:val="0"/>
          <w:sz w:val="32"/>
          <w:szCs w:val="32"/>
        </w:rPr>
        <w:t>深化5G示范场景应用</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加快5G在智慧农业、智能驾驶、工业互联网、健康医疗、城市服务、文化教育、体育娱乐等领域</w:t>
      </w:r>
      <w:r>
        <w:rPr>
          <w:rFonts w:hint="eastAsia" w:ascii="仿宋" w:hAnsi="仿宋" w:eastAsia="仿宋" w:cs="仿宋_GB2312"/>
          <w:kern w:val="0"/>
          <w:sz w:val="32"/>
          <w:szCs w:val="32"/>
          <w:lang w:val="en-US" w:eastAsia="zh-CN"/>
        </w:rPr>
        <w:t>深度</w:t>
      </w:r>
      <w:r>
        <w:rPr>
          <w:rFonts w:hint="eastAsia" w:ascii="仿宋" w:hAnsi="仿宋" w:eastAsia="仿宋" w:cs="仿宋_GB2312"/>
          <w:kern w:val="0"/>
          <w:sz w:val="32"/>
          <w:szCs w:val="32"/>
        </w:rPr>
        <w:t>应用。以5G</w:t>
      </w:r>
      <w:r>
        <w:rPr>
          <w:rFonts w:ascii="仿宋" w:hAnsi="仿宋" w:eastAsia="仿宋" w:cs="仿宋_GB2312"/>
          <w:kern w:val="0"/>
          <w:sz w:val="32"/>
          <w:szCs w:val="32"/>
        </w:rPr>
        <w:t>+产业发展为切入点，推动5G在工业领域应用</w:t>
      </w:r>
      <w:r>
        <w:rPr>
          <w:rFonts w:hint="eastAsia" w:ascii="仿宋" w:hAnsi="仿宋" w:eastAsia="仿宋" w:cs="仿宋_GB2312"/>
          <w:kern w:val="0"/>
          <w:sz w:val="32"/>
          <w:szCs w:val="32"/>
        </w:rPr>
        <w:t>，建设5G透明工厂</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以小微园区、特色小镇等为重点，打造5G特色园区。到2025年，培育10个重点应用场景，打造5G建设领先县和5G应用示范县。</w:t>
      </w:r>
    </w:p>
    <w:p>
      <w:pPr>
        <w:pStyle w:val="24"/>
        <w:keepNext w:val="0"/>
        <w:keepLines w:val="0"/>
        <w:pageBreakBefore w:val="0"/>
        <w:kinsoku/>
        <w:wordWrap/>
        <w:overflowPunct/>
        <w:topLinePunct w:val="0"/>
        <w:autoSpaceDE/>
        <w:autoSpaceDN/>
        <w:bidi w:val="0"/>
        <w:adjustRightInd/>
        <w:spacing w:before="190" w:beforeLines="50" w:beforeAutospacing="0" w:after="190" w:afterLines="50" w:afterAutospacing="0" w:line="560" w:lineRule="exact"/>
        <w:ind w:firstLine="641"/>
        <w:textAlignment w:val="auto"/>
        <w:outlineLvl w:val="2"/>
        <w:rPr>
          <w:rFonts w:ascii="仿宋" w:hAnsi="仿宋" w:eastAsia="仿宋" w:cs="仿宋_GB2312"/>
          <w:b/>
          <w:bCs/>
          <w:sz w:val="32"/>
          <w:szCs w:val="32"/>
        </w:rPr>
      </w:pPr>
      <w:bookmarkStart w:id="979" w:name="_Toc16610"/>
      <w:bookmarkStart w:id="980" w:name="_Toc4077"/>
      <w:bookmarkStart w:id="981" w:name="_Toc27963"/>
      <w:bookmarkStart w:id="982" w:name="_Toc18428"/>
      <w:bookmarkStart w:id="983" w:name="_Toc18146"/>
      <w:bookmarkStart w:id="984" w:name="_Toc23947"/>
      <w:bookmarkStart w:id="985" w:name="_Toc12698"/>
      <w:bookmarkStart w:id="986" w:name="_Toc28676"/>
      <w:bookmarkStart w:id="987" w:name="_Toc13669"/>
      <w:bookmarkStart w:id="988" w:name="_Toc26196"/>
      <w:bookmarkStart w:id="989" w:name="_Toc30332"/>
      <w:bookmarkStart w:id="990" w:name="_Toc20691"/>
      <w:bookmarkStart w:id="991" w:name="_Toc14670"/>
      <w:bookmarkStart w:id="992" w:name="_Toc30713"/>
      <w:bookmarkStart w:id="993" w:name="_Toc27442"/>
      <w:bookmarkStart w:id="994" w:name="_Toc15739"/>
      <w:bookmarkStart w:id="995" w:name="_Toc3862"/>
      <w:bookmarkStart w:id="996" w:name="_Toc20048"/>
      <w:bookmarkStart w:id="997" w:name="_Toc1345"/>
      <w:bookmarkStart w:id="998" w:name="_Toc13843"/>
      <w:bookmarkStart w:id="999" w:name="_Toc4268"/>
      <w:bookmarkStart w:id="1000" w:name="_Toc17158"/>
      <w:bookmarkStart w:id="1001" w:name="_Toc17520"/>
      <w:bookmarkStart w:id="1002" w:name="_Toc24531"/>
      <w:bookmarkStart w:id="1003" w:name="_Toc25133"/>
      <w:bookmarkStart w:id="1004" w:name="_Toc30937"/>
      <w:bookmarkStart w:id="1005" w:name="_Toc22628"/>
      <w:bookmarkStart w:id="1006" w:name="_Toc8306"/>
      <w:bookmarkStart w:id="1007" w:name="_Toc23749"/>
      <w:bookmarkStart w:id="1008" w:name="_Toc5198"/>
      <w:bookmarkStart w:id="1009" w:name="_Toc32630"/>
      <w:bookmarkStart w:id="1010" w:name="_Toc16006"/>
      <w:r>
        <w:rPr>
          <w:rFonts w:ascii="仿宋" w:hAnsi="仿宋" w:eastAsia="仿宋" w:cs="仿宋_GB2312"/>
          <w:b/>
          <w:bCs/>
          <w:sz w:val="32"/>
          <w:szCs w:val="32"/>
        </w:rPr>
        <w:t>2.</w:t>
      </w:r>
      <w:r>
        <w:rPr>
          <w:rFonts w:hint="eastAsia" w:ascii="仿宋" w:hAnsi="仿宋" w:eastAsia="仿宋" w:cs="仿宋_GB2312"/>
          <w:b/>
          <w:bCs/>
          <w:sz w:val="32"/>
          <w:szCs w:val="32"/>
        </w:rPr>
        <w:t>全面</w:t>
      </w:r>
      <w:r>
        <w:rPr>
          <w:rFonts w:ascii="仿宋" w:hAnsi="仿宋" w:eastAsia="仿宋" w:cs="仿宋_GB2312"/>
          <w:b/>
          <w:bCs/>
          <w:sz w:val="32"/>
          <w:szCs w:val="32"/>
        </w:rPr>
        <w:t>支持数据中心</w:t>
      </w:r>
      <w:r>
        <w:rPr>
          <w:rFonts w:hint="eastAsia" w:ascii="仿宋" w:hAnsi="仿宋" w:eastAsia="仿宋" w:cs="仿宋_GB2312"/>
          <w:b/>
          <w:bCs/>
          <w:sz w:val="32"/>
          <w:szCs w:val="32"/>
        </w:rPr>
        <w:t>平台</w:t>
      </w:r>
      <w:r>
        <w:rPr>
          <w:rFonts w:ascii="仿宋" w:hAnsi="仿宋" w:eastAsia="仿宋" w:cs="仿宋_GB2312"/>
          <w:b/>
          <w:bCs/>
          <w:sz w:val="32"/>
          <w:szCs w:val="32"/>
        </w:rPr>
        <w:t>建设</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1</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打造“光网城市”</w:t>
      </w:r>
      <w:r>
        <w:rPr>
          <w:rFonts w:hint="eastAsia" w:ascii="仿宋" w:hAnsi="仿宋" w:eastAsia="仿宋" w:cs="仿宋_GB2312"/>
          <w:b/>
          <w:bCs/>
          <w:kern w:val="0"/>
          <w:sz w:val="32"/>
          <w:szCs w:val="32"/>
          <w:lang w:eastAsia="zh-CN"/>
        </w:rPr>
        <w:t>。</w:t>
      </w:r>
      <w:r>
        <w:rPr>
          <w:rFonts w:hint="eastAsia" w:ascii="仿宋" w:hAnsi="仿宋" w:eastAsia="仿宋" w:cs="仿宋_GB2312"/>
          <w:kern w:val="0"/>
          <w:sz w:val="32"/>
          <w:szCs w:val="32"/>
        </w:rPr>
        <w:t>全面推进通信光网、宽带接入网和移动网络优化升级，大幅扩容升级城域网、骨干网和国际出口带宽。推进骨干网、宽带接入网和移动接入网的IPv6改造和互联互通，加快构建基于IPv6协议的下一代互联网体系。</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2</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深化数据平台建设</w:t>
      </w:r>
      <w:r>
        <w:rPr>
          <w:rFonts w:hint="eastAsia" w:ascii="仿宋" w:hAnsi="仿宋" w:eastAsia="仿宋" w:cs="仿宋_GB2312"/>
          <w:b/>
          <w:bCs/>
          <w:kern w:val="0"/>
          <w:sz w:val="32"/>
          <w:szCs w:val="32"/>
          <w:lang w:eastAsia="zh-CN"/>
        </w:rPr>
        <w:t>。</w:t>
      </w:r>
      <w:r>
        <w:rPr>
          <w:rFonts w:hint="eastAsia" w:ascii="仿宋" w:hAnsi="仿宋" w:eastAsia="仿宋" w:cs="仿宋_GB2312"/>
          <w:kern w:val="0"/>
          <w:sz w:val="32"/>
          <w:szCs w:val="32"/>
        </w:rPr>
        <w:t>建设永嘉大数据中心，加快推进三江数字经济产业园数据中心建设，加强人工智能应用平台建设。到2025年，数据中心机架总数达到</w:t>
      </w:r>
      <w:r>
        <w:rPr>
          <w:rFonts w:hint="eastAsia" w:ascii="仿宋" w:hAnsi="仿宋" w:eastAsia="仿宋" w:cs="仿宋_GB2312"/>
          <w:kern w:val="0"/>
          <w:sz w:val="32"/>
          <w:szCs w:val="32"/>
          <w:lang w:val="en-US" w:eastAsia="zh-CN"/>
        </w:rPr>
        <w:t>35</w:t>
      </w:r>
      <w:r>
        <w:rPr>
          <w:rFonts w:hint="eastAsia" w:ascii="仿宋" w:hAnsi="仿宋" w:eastAsia="仿宋" w:cs="仿宋_GB2312"/>
          <w:kern w:val="0"/>
          <w:sz w:val="32"/>
          <w:szCs w:val="32"/>
        </w:rPr>
        <w:t>00个以上。</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 w:hAnsi="仿宋" w:eastAsia="仿宋" w:cs="仿宋_GB2312"/>
          <w:kern w:val="0"/>
          <w:sz w:val="32"/>
          <w:szCs w:val="32"/>
          <w:highlight w:val="none"/>
        </w:rPr>
      </w:pP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lang w:val="en-US" w:eastAsia="zh-CN"/>
        </w:rPr>
        <w:t>3</w:t>
      </w:r>
      <w:r>
        <w:rPr>
          <w:rFonts w:hint="eastAsia" w:ascii="仿宋" w:hAnsi="仿宋" w:eastAsia="仿宋" w:cs="仿宋_GB2312"/>
          <w:b/>
          <w:bCs/>
          <w:kern w:val="0"/>
          <w:sz w:val="32"/>
          <w:szCs w:val="32"/>
          <w:lang w:eastAsia="zh-CN"/>
        </w:rPr>
        <w:t>）</w:t>
      </w:r>
      <w:r>
        <w:rPr>
          <w:rFonts w:hint="eastAsia" w:ascii="仿宋" w:hAnsi="仿宋" w:eastAsia="仿宋" w:cs="仿宋_GB2312"/>
          <w:b/>
          <w:bCs/>
          <w:kern w:val="0"/>
          <w:sz w:val="32"/>
          <w:szCs w:val="32"/>
        </w:rPr>
        <w:t>完善数据基础设施</w:t>
      </w:r>
      <w:r>
        <w:rPr>
          <w:rFonts w:hint="eastAsia" w:ascii="仿宋" w:hAnsi="仿宋" w:eastAsia="仿宋" w:cs="仿宋_GB2312"/>
          <w:b/>
          <w:bCs/>
          <w:kern w:val="0"/>
          <w:sz w:val="32"/>
          <w:szCs w:val="32"/>
          <w:lang w:eastAsia="zh-CN"/>
        </w:rPr>
        <w:t>。</w:t>
      </w:r>
      <w:r>
        <w:rPr>
          <w:rFonts w:hint="eastAsia" w:ascii="仿宋" w:hAnsi="仿宋" w:eastAsia="仿宋" w:cs="仿宋_GB2312"/>
          <w:kern w:val="0"/>
          <w:sz w:val="32"/>
          <w:szCs w:val="32"/>
        </w:rPr>
        <w:t>依托县本级数据交换</w:t>
      </w:r>
      <w:r>
        <w:rPr>
          <w:rFonts w:hint="eastAsia" w:ascii="仿宋" w:hAnsi="仿宋" w:eastAsia="仿宋" w:cs="仿宋_GB2312"/>
          <w:kern w:val="0"/>
          <w:sz w:val="32"/>
          <w:szCs w:val="32"/>
          <w:lang w:val="en-US" w:eastAsia="zh-CN"/>
        </w:rPr>
        <w:t>系统</w:t>
      </w:r>
      <w:r>
        <w:rPr>
          <w:rFonts w:hint="eastAsia" w:ascii="仿宋" w:hAnsi="仿宋" w:eastAsia="仿宋" w:cs="仿宋_GB2312"/>
          <w:kern w:val="0"/>
          <w:sz w:val="32"/>
          <w:szCs w:val="32"/>
        </w:rPr>
        <w:t>推进政府部门之间的信息共享和业务协同。建立和完善人口基础信息库、法人单位基础信息库、自然资源和地理空间基础信息库、电子证照库和社会信用数据库</w:t>
      </w:r>
      <w:r>
        <w:rPr>
          <w:rFonts w:hint="eastAsia" w:ascii="仿宋" w:hAnsi="仿宋" w:eastAsia="仿宋" w:cs="仿宋_GB2312"/>
          <w:kern w:val="0"/>
          <w:sz w:val="32"/>
          <w:szCs w:val="32"/>
          <w:highlight w:val="none"/>
        </w:rPr>
        <w:t>等。制定政务数据标准，建立政务数据归集、校核、清洗等管理机制，提</w:t>
      </w:r>
      <w:r>
        <w:rPr>
          <w:rFonts w:hint="eastAsia" w:ascii="仿宋" w:hAnsi="仿宋" w:eastAsia="仿宋" w:cs="仿宋_GB2312"/>
          <w:kern w:val="0"/>
          <w:sz w:val="32"/>
          <w:szCs w:val="32"/>
          <w:highlight w:val="none"/>
          <w:lang w:val="en-US" w:eastAsia="zh-CN"/>
        </w:rPr>
        <w:t>升</w:t>
      </w:r>
      <w:r>
        <w:rPr>
          <w:rFonts w:hint="eastAsia" w:ascii="仿宋" w:hAnsi="仿宋" w:eastAsia="仿宋" w:cs="仿宋_GB2312"/>
          <w:kern w:val="0"/>
          <w:sz w:val="32"/>
          <w:szCs w:val="32"/>
          <w:highlight w:val="none"/>
        </w:rPr>
        <w:t>数据质量。</w:t>
      </w:r>
    </w:p>
    <w:p>
      <w:pPr>
        <w:pStyle w:val="24"/>
        <w:keepNext w:val="0"/>
        <w:keepLines w:val="0"/>
        <w:pageBreakBefore w:val="0"/>
        <w:kinsoku/>
        <w:wordWrap/>
        <w:overflowPunct/>
        <w:topLinePunct w:val="0"/>
        <w:autoSpaceDE/>
        <w:autoSpaceDN/>
        <w:bidi w:val="0"/>
        <w:adjustRightInd/>
        <w:spacing w:before="190" w:beforeLines="50" w:beforeAutospacing="0" w:after="190" w:afterLines="50" w:afterAutospacing="0" w:line="560" w:lineRule="exact"/>
        <w:ind w:firstLine="641"/>
        <w:textAlignment w:val="auto"/>
        <w:outlineLvl w:val="2"/>
        <w:rPr>
          <w:rFonts w:ascii="仿宋" w:hAnsi="仿宋" w:eastAsia="仿宋" w:cs="仿宋_GB2312"/>
          <w:b/>
          <w:bCs/>
          <w:sz w:val="32"/>
          <w:szCs w:val="32"/>
        </w:rPr>
      </w:pPr>
      <w:bookmarkStart w:id="1011" w:name="_Toc4499"/>
      <w:bookmarkStart w:id="1012" w:name="_Toc22137"/>
      <w:bookmarkStart w:id="1013" w:name="_Toc16661"/>
      <w:bookmarkStart w:id="1014" w:name="_Toc10271"/>
      <w:bookmarkStart w:id="1015" w:name="_Toc28220"/>
      <w:bookmarkStart w:id="1016" w:name="_Toc10145"/>
      <w:bookmarkStart w:id="1017" w:name="_Toc24734"/>
      <w:bookmarkStart w:id="1018" w:name="_Toc22220"/>
      <w:bookmarkStart w:id="1019" w:name="_Toc14135"/>
      <w:bookmarkStart w:id="1020" w:name="_Toc8517"/>
      <w:bookmarkStart w:id="1021" w:name="_Toc28064"/>
      <w:bookmarkStart w:id="1022" w:name="_Toc8011"/>
      <w:bookmarkStart w:id="1023" w:name="_Toc2160"/>
      <w:bookmarkStart w:id="1024" w:name="_Toc16969"/>
      <w:bookmarkStart w:id="1025" w:name="_Toc3638"/>
      <w:bookmarkStart w:id="1026" w:name="_Toc2394"/>
      <w:bookmarkStart w:id="1027" w:name="_Toc5866"/>
      <w:bookmarkStart w:id="1028" w:name="_Toc817"/>
      <w:bookmarkStart w:id="1029" w:name="_Toc1418"/>
      <w:bookmarkStart w:id="1030" w:name="_Toc12436"/>
      <w:bookmarkStart w:id="1031" w:name="_Toc32580"/>
      <w:bookmarkStart w:id="1032" w:name="_Toc5292"/>
      <w:bookmarkStart w:id="1033" w:name="_Toc9818"/>
      <w:r>
        <w:rPr>
          <w:rFonts w:hint="eastAsia" w:ascii="仿宋" w:hAnsi="仿宋" w:eastAsia="仿宋" w:cs="仿宋_GB2312"/>
          <w:b/>
          <w:bCs/>
          <w:sz w:val="32"/>
          <w:szCs w:val="32"/>
        </w:rPr>
        <w:t>3.全面建设融合型智能化基础设施</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28"/>
        <w:keepNext w:val="0"/>
        <w:keepLines w:val="0"/>
        <w:pageBreakBefore w:val="0"/>
        <w:kinsoku/>
        <w:wordWrap/>
        <w:overflowPunct/>
        <w:topLinePunct w:val="0"/>
        <w:autoSpaceDE/>
        <w:autoSpaceDN/>
        <w:bidi w:val="0"/>
        <w:adjustRightInd/>
        <w:spacing w:after="0" w:line="560" w:lineRule="exact"/>
        <w:ind w:left="0" w:leftChars="0" w:firstLine="624"/>
        <w:textAlignment w:val="auto"/>
        <w:rPr>
          <w:rFonts w:hint="eastAsia" w:ascii="仿宋" w:hAnsi="仿宋" w:eastAsia="仿宋" w:cs="仿宋_GB2312"/>
          <w:sz w:val="32"/>
          <w:szCs w:val="32"/>
        </w:rPr>
      </w:pPr>
      <w:r>
        <w:rPr>
          <w:rFonts w:hint="eastAsia" w:ascii="仿宋" w:hAnsi="仿宋" w:eastAsia="仿宋" w:cs="仿宋_GB2312"/>
          <w:b/>
          <w:bCs/>
          <w:sz w:val="32"/>
          <w:szCs w:val="32"/>
          <w:lang w:eastAsia="zh-CN"/>
        </w:rPr>
        <w:t>（</w:t>
      </w:r>
      <w:r>
        <w:rPr>
          <w:rFonts w:hint="eastAsia" w:ascii="仿宋" w:hAnsi="仿宋" w:eastAsia="仿宋" w:cs="仿宋_GB2312"/>
          <w:b/>
          <w:bCs/>
          <w:sz w:val="32"/>
          <w:szCs w:val="32"/>
          <w:lang w:val="en-US" w:eastAsia="zh-CN"/>
        </w:rPr>
        <w:t>1</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深化融合型基础设施部署</w:t>
      </w:r>
      <w:r>
        <w:rPr>
          <w:rFonts w:hint="eastAsia" w:ascii="仿宋" w:hAnsi="仿宋" w:eastAsia="仿宋" w:cs="仿宋_GB2312"/>
          <w:b/>
          <w:bCs/>
          <w:sz w:val="32"/>
          <w:szCs w:val="32"/>
          <w:lang w:eastAsia="zh-CN"/>
        </w:rPr>
        <w:t>。</w:t>
      </w:r>
      <w:r>
        <w:rPr>
          <w:rFonts w:hint="eastAsia" w:ascii="仿宋" w:hAnsi="仿宋" w:eastAsia="仿宋" w:cs="仿宋_GB2312"/>
          <w:sz w:val="32"/>
          <w:szCs w:val="32"/>
        </w:rPr>
        <w:t>围绕街区楼宇、道路桥梁、环境卫生、公共治安等城市场景，推进视频、智能传感器、射频识别、电子标签等前端智能感知终端深度覆盖和集成共享，构建形成泛在感知的智能化新型数字基础设施。持续推进网络基础设施升级，推动交通、能源、医疗、水利、环保等传统基础设施智能化升级，协同建设智慧城市、智慧乡村、智慧社区。</w:t>
      </w:r>
    </w:p>
    <w:p>
      <w:pPr>
        <w:pStyle w:val="28"/>
        <w:keepNext w:val="0"/>
        <w:keepLines w:val="0"/>
        <w:pageBreakBefore w:val="0"/>
        <w:kinsoku/>
        <w:wordWrap/>
        <w:overflowPunct/>
        <w:topLinePunct w:val="0"/>
        <w:autoSpaceDE/>
        <w:autoSpaceDN/>
        <w:bidi w:val="0"/>
        <w:adjustRightInd/>
        <w:spacing w:after="0" w:line="560" w:lineRule="exact"/>
        <w:ind w:left="0" w:leftChars="0" w:firstLine="624"/>
        <w:textAlignment w:val="auto"/>
        <w:rPr>
          <w:rFonts w:ascii="仿宋" w:hAnsi="仿宋" w:eastAsia="仿宋" w:cs="仿宋_GB2312"/>
          <w:sz w:val="32"/>
          <w:szCs w:val="32"/>
        </w:rPr>
      </w:pPr>
      <w:r>
        <w:rPr>
          <w:rFonts w:hint="eastAsia" w:ascii="仿宋" w:hAnsi="仿宋" w:eastAsia="仿宋" w:cs="仿宋_GB2312"/>
          <w:b/>
          <w:bCs/>
          <w:sz w:val="32"/>
          <w:szCs w:val="32"/>
          <w:lang w:eastAsia="zh-CN"/>
        </w:rPr>
        <w:t>（</w:t>
      </w:r>
      <w:r>
        <w:rPr>
          <w:rFonts w:hint="eastAsia" w:ascii="仿宋" w:hAnsi="仿宋" w:eastAsia="仿宋" w:cs="仿宋_GB2312"/>
          <w:b/>
          <w:bCs/>
          <w:sz w:val="32"/>
          <w:szCs w:val="32"/>
          <w:lang w:val="en-US" w:eastAsia="zh-CN"/>
        </w:rPr>
        <w:t>2</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开展基础设施智慧化场景融合应用</w:t>
      </w:r>
      <w:r>
        <w:rPr>
          <w:rFonts w:hint="eastAsia" w:ascii="仿宋" w:hAnsi="仿宋" w:eastAsia="仿宋" w:cs="仿宋_GB2312"/>
          <w:b/>
          <w:bCs/>
          <w:sz w:val="32"/>
          <w:szCs w:val="32"/>
          <w:lang w:eastAsia="zh-CN"/>
        </w:rPr>
        <w:t>。</w:t>
      </w:r>
      <w:r>
        <w:rPr>
          <w:rFonts w:hint="eastAsia" w:ascii="仿宋" w:hAnsi="仿宋" w:eastAsia="仿宋" w:cs="仿宋_GB2312"/>
          <w:sz w:val="32"/>
          <w:szCs w:val="32"/>
        </w:rPr>
        <w:t>聚焦公共治理、幸福民生等重点领域，推进智慧政务、智慧教育、智慧医疗、智慧养老、智慧旅游、智慧金融，加快打造领先的新型基础设施智慧化融合应用城市。推进城乡基础设施、生活服务和生产制造等领域实现感知系统建设，形成一批产业级典型应用。</w:t>
      </w:r>
    </w:p>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Pr>
        <w:pStyle w:val="28"/>
        <w:keepNext w:val="0"/>
        <w:keepLines w:val="0"/>
        <w:pageBreakBefore w:val="0"/>
        <w:kinsoku/>
        <w:wordWrap/>
        <w:overflowPunct/>
        <w:topLinePunct w:val="0"/>
        <w:autoSpaceDE/>
        <w:autoSpaceDN/>
        <w:bidi w:val="0"/>
        <w:adjustRightInd/>
        <w:spacing w:before="190" w:beforeLines="50" w:after="190" w:afterLines="50" w:line="560" w:lineRule="exact"/>
        <w:ind w:left="0" w:leftChars="0" w:firstLine="624"/>
        <w:textAlignment w:val="auto"/>
        <w:outlineLvl w:val="0"/>
        <w:rPr>
          <w:rFonts w:ascii="黑体" w:hAnsi="黑体" w:eastAsia="黑体" w:cs="黑体"/>
          <w:sz w:val="32"/>
          <w:szCs w:val="32"/>
        </w:rPr>
      </w:pPr>
      <w:bookmarkStart w:id="1034" w:name="_Toc18247"/>
      <w:bookmarkStart w:id="1035" w:name="_Toc14172"/>
      <w:bookmarkStart w:id="1036" w:name="_Toc14609"/>
      <w:bookmarkStart w:id="1037" w:name="_Toc8199"/>
      <w:bookmarkStart w:id="1038" w:name="_Toc2346"/>
      <w:bookmarkStart w:id="1039" w:name="_Toc29089"/>
      <w:bookmarkStart w:id="1040" w:name="_Toc21214"/>
      <w:bookmarkStart w:id="1041" w:name="_Toc25657"/>
      <w:bookmarkStart w:id="1042" w:name="_Toc11060"/>
      <w:bookmarkStart w:id="1043" w:name="_Toc21535"/>
      <w:bookmarkStart w:id="1044" w:name="_Toc21781"/>
      <w:bookmarkStart w:id="1045" w:name="_Toc3179"/>
      <w:bookmarkStart w:id="1046" w:name="_Toc32205"/>
      <w:bookmarkStart w:id="1047" w:name="_Toc2142"/>
      <w:bookmarkStart w:id="1048" w:name="_Toc15483"/>
      <w:bookmarkStart w:id="1049" w:name="_Toc29846"/>
      <w:bookmarkStart w:id="1050" w:name="_Toc9788"/>
      <w:bookmarkStart w:id="1051" w:name="_Toc14292"/>
      <w:bookmarkStart w:id="1052" w:name="_Toc16752"/>
      <w:bookmarkStart w:id="1053" w:name="_Toc2099"/>
      <w:bookmarkStart w:id="1054" w:name="_Toc18005"/>
      <w:bookmarkStart w:id="1055" w:name="_Toc17419"/>
      <w:r>
        <w:rPr>
          <w:rFonts w:hint="eastAsia" w:ascii="黑体" w:hAnsi="黑体" w:eastAsia="黑体" w:cs="黑体"/>
          <w:sz w:val="32"/>
          <w:szCs w:val="32"/>
        </w:rPr>
        <w:t>五、保障措施</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sz w:val="32"/>
          <w:szCs w:val="32"/>
        </w:rPr>
      </w:pPr>
      <w:bookmarkStart w:id="1056" w:name="_Toc26079"/>
      <w:bookmarkStart w:id="1057" w:name="_Toc1812"/>
      <w:bookmarkStart w:id="1058" w:name="_Toc11591"/>
      <w:bookmarkStart w:id="1059" w:name="_Toc6889"/>
      <w:bookmarkStart w:id="1060" w:name="_Toc2846"/>
      <w:bookmarkStart w:id="1061" w:name="_Toc19556"/>
      <w:bookmarkStart w:id="1062" w:name="_Toc32485"/>
      <w:bookmarkStart w:id="1063" w:name="_Toc10985"/>
      <w:bookmarkStart w:id="1064" w:name="_Toc1452"/>
      <w:bookmarkStart w:id="1065" w:name="_Toc2640"/>
      <w:bookmarkStart w:id="1066" w:name="_Toc28603"/>
      <w:bookmarkStart w:id="1067" w:name="_Toc13059"/>
      <w:bookmarkStart w:id="1068" w:name="_Toc4374"/>
      <w:bookmarkStart w:id="1069" w:name="_Toc10665"/>
      <w:bookmarkStart w:id="1070" w:name="_Toc8947"/>
      <w:bookmarkStart w:id="1071" w:name="_Toc18378"/>
      <w:bookmarkStart w:id="1072" w:name="_Toc20785"/>
      <w:bookmarkStart w:id="1073" w:name="_Toc12104"/>
      <w:bookmarkStart w:id="1074" w:name="_Toc28059"/>
      <w:bookmarkStart w:id="1075" w:name="_Toc16758"/>
      <w:bookmarkStart w:id="1076" w:name="_Toc32416"/>
      <w:bookmarkStart w:id="1077" w:name="_Toc10386"/>
      <w:bookmarkStart w:id="1078" w:name="_Toc212"/>
      <w:bookmarkStart w:id="1079" w:name="_Toc3754"/>
      <w:bookmarkStart w:id="1080" w:name="_Toc12697"/>
      <w:bookmarkStart w:id="1081" w:name="_Toc22326"/>
      <w:bookmarkStart w:id="1082" w:name="_Toc14086"/>
      <w:bookmarkStart w:id="1083" w:name="_Toc1887"/>
      <w:bookmarkStart w:id="1084" w:name="_Toc6234"/>
      <w:bookmarkStart w:id="1085" w:name="_Toc16683"/>
      <w:bookmarkStart w:id="1086" w:name="_Toc16597"/>
      <w:bookmarkStart w:id="1087" w:name="_Toc24140"/>
      <w:bookmarkStart w:id="1088" w:name="_Toc9431"/>
      <w:bookmarkStart w:id="1089" w:name="_Toc14022"/>
      <w:r>
        <w:rPr>
          <w:rFonts w:hint="eastAsia" w:ascii="楷体" w:hAnsi="楷体" w:eastAsia="楷体" w:cs="楷体"/>
          <w:kern w:val="0"/>
          <w:sz w:val="32"/>
          <w:szCs w:val="32"/>
        </w:rPr>
        <w:t>（一）统筹协调，强化组织协调领导</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27"/>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kern w:val="0"/>
          <w:sz w:val="32"/>
          <w:szCs w:val="32"/>
        </w:rPr>
        <w:t>健全工作体系，深化数字经济领导小组职能，切实强化对数字经济工作的组织领导，精心谋划推进，狠抓工作落实。强化部门协作，建立健全数字经济发展工作协调机制，协调数字经济发展中的重大问题。强化考核评价，将数字经济相关指标纳入高质量发展绩效评价体系。</w:t>
      </w:r>
    </w:p>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kern w:val="0"/>
          <w:sz w:val="32"/>
          <w:szCs w:val="32"/>
        </w:rPr>
      </w:pPr>
      <w:bookmarkStart w:id="1090" w:name="_Toc27006"/>
      <w:bookmarkStart w:id="1091" w:name="_Toc32178"/>
      <w:bookmarkStart w:id="1092" w:name="_Toc18452"/>
      <w:bookmarkStart w:id="1093" w:name="_Toc18827"/>
      <w:bookmarkStart w:id="1094" w:name="_Toc26748"/>
      <w:bookmarkStart w:id="1095" w:name="_Toc7426"/>
      <w:bookmarkStart w:id="1096" w:name="_Toc27381"/>
      <w:bookmarkStart w:id="1097" w:name="_Toc25167"/>
      <w:bookmarkStart w:id="1098" w:name="_Toc22690"/>
      <w:bookmarkStart w:id="1099" w:name="_Toc5554"/>
      <w:bookmarkStart w:id="1100" w:name="_Toc31437"/>
      <w:bookmarkStart w:id="1101" w:name="_Toc17640"/>
      <w:bookmarkStart w:id="1102" w:name="_Toc16162"/>
      <w:bookmarkStart w:id="1103" w:name="_Toc4435"/>
      <w:bookmarkStart w:id="1104" w:name="_Toc3853"/>
      <w:bookmarkStart w:id="1105" w:name="_Toc5984"/>
      <w:bookmarkStart w:id="1106" w:name="_Toc14466"/>
      <w:bookmarkStart w:id="1107" w:name="_Toc31975"/>
      <w:bookmarkStart w:id="1108" w:name="_Toc4089"/>
      <w:bookmarkStart w:id="1109" w:name="_Toc14196"/>
      <w:bookmarkStart w:id="1110" w:name="_Toc13485"/>
      <w:bookmarkStart w:id="1111" w:name="_Toc31146"/>
      <w:bookmarkStart w:id="1112" w:name="_Toc19944"/>
      <w:bookmarkStart w:id="1113" w:name="_Toc17704"/>
      <w:bookmarkStart w:id="1114" w:name="_Toc719"/>
      <w:bookmarkStart w:id="1115" w:name="_Toc15606"/>
      <w:bookmarkStart w:id="1116" w:name="_Toc13565"/>
      <w:bookmarkStart w:id="1117" w:name="_Toc16642"/>
      <w:bookmarkStart w:id="1118" w:name="_Toc19193"/>
      <w:bookmarkStart w:id="1119" w:name="_Toc13786"/>
      <w:bookmarkStart w:id="1120" w:name="_Toc6311"/>
      <w:bookmarkStart w:id="1121" w:name="_Toc16042"/>
      <w:bookmarkStart w:id="1122" w:name="_Toc26372"/>
      <w:bookmarkStart w:id="1123" w:name="_Toc1132"/>
      <w:r>
        <w:rPr>
          <w:rFonts w:hint="eastAsia" w:ascii="楷体" w:hAnsi="楷体" w:eastAsia="楷体" w:cs="楷体"/>
          <w:kern w:val="0"/>
          <w:sz w:val="32"/>
          <w:szCs w:val="32"/>
        </w:rPr>
        <w:t>（二）政策扶持，支持重点项目建设</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27"/>
        <w:keepNext w:val="0"/>
        <w:keepLines w:val="0"/>
        <w:pageBreakBefore w:val="0"/>
        <w:kinsoku/>
        <w:wordWrap/>
        <w:overflowPunct/>
        <w:topLinePunct w:val="0"/>
        <w:autoSpaceDE/>
        <w:autoSpaceDN/>
        <w:bidi w:val="0"/>
        <w:adjustRightInd/>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kern w:val="0"/>
          <w:sz w:val="32"/>
          <w:szCs w:val="32"/>
        </w:rPr>
        <w:t>积极争取国家</w:t>
      </w:r>
      <w:r>
        <w:rPr>
          <w:rFonts w:hint="eastAsia" w:ascii="仿宋" w:hAnsi="仿宋" w:eastAsia="仿宋" w:cs="仿宋_GB2312"/>
          <w:kern w:val="0"/>
          <w:sz w:val="32"/>
          <w:szCs w:val="32"/>
          <w:lang w:val="en-US" w:eastAsia="zh-CN"/>
        </w:rPr>
        <w:t>级</w:t>
      </w:r>
      <w:r>
        <w:rPr>
          <w:rFonts w:hint="eastAsia" w:ascii="仿宋" w:hAnsi="仿宋" w:eastAsia="仿宋" w:cs="仿宋_GB2312"/>
          <w:kern w:val="0"/>
          <w:sz w:val="32"/>
          <w:szCs w:val="32"/>
        </w:rPr>
        <w:t>、省级、市级层面在数字经济方面的政策支持，积极申报数字经济领域重点专项</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统筹</w:t>
      </w:r>
      <w:r>
        <w:rPr>
          <w:rFonts w:hint="eastAsia" w:ascii="仿宋" w:hAnsi="仿宋" w:eastAsia="仿宋" w:cs="仿宋_GB2312"/>
          <w:kern w:val="0"/>
          <w:sz w:val="32"/>
          <w:szCs w:val="32"/>
          <w:lang w:val="en-US" w:eastAsia="zh-CN"/>
        </w:rPr>
        <w:t>协调</w:t>
      </w:r>
      <w:r>
        <w:rPr>
          <w:rFonts w:hint="eastAsia" w:ascii="仿宋" w:hAnsi="仿宋" w:eastAsia="仿宋" w:cs="仿宋_GB2312"/>
          <w:kern w:val="0"/>
          <w:sz w:val="32"/>
          <w:szCs w:val="32"/>
        </w:rPr>
        <w:t>县</w:t>
      </w:r>
      <w:r>
        <w:rPr>
          <w:rFonts w:hint="eastAsia" w:ascii="仿宋" w:hAnsi="仿宋" w:eastAsia="仿宋" w:cs="仿宋_GB2312"/>
          <w:kern w:val="0"/>
          <w:sz w:val="32"/>
          <w:szCs w:val="32"/>
          <w:lang w:val="en-US" w:eastAsia="zh-CN"/>
        </w:rPr>
        <w:t>级</w:t>
      </w:r>
      <w:r>
        <w:rPr>
          <w:rFonts w:hint="eastAsia" w:ascii="仿宋" w:hAnsi="仿宋" w:eastAsia="仿宋" w:cs="仿宋_GB2312"/>
          <w:kern w:val="0"/>
          <w:sz w:val="32"/>
          <w:szCs w:val="32"/>
        </w:rPr>
        <w:t>财政</w:t>
      </w:r>
      <w:r>
        <w:rPr>
          <w:rFonts w:hint="eastAsia" w:ascii="仿宋" w:hAnsi="仿宋" w:eastAsia="仿宋" w:cs="仿宋_GB2312"/>
          <w:kern w:val="0"/>
          <w:sz w:val="32"/>
          <w:szCs w:val="32"/>
          <w:lang w:val="en-US" w:eastAsia="zh-CN"/>
        </w:rPr>
        <w:t>扶持政策</w:t>
      </w:r>
      <w:r>
        <w:rPr>
          <w:rFonts w:hint="eastAsia" w:ascii="仿宋" w:hAnsi="仿宋" w:eastAsia="仿宋" w:cs="仿宋_GB2312"/>
          <w:kern w:val="0"/>
          <w:sz w:val="32"/>
          <w:szCs w:val="32"/>
        </w:rPr>
        <w:t>，加大对数字经济发展重点领域、重点平台和重大项目的</w:t>
      </w:r>
      <w:r>
        <w:rPr>
          <w:rFonts w:hint="eastAsia" w:ascii="仿宋" w:hAnsi="仿宋" w:eastAsia="仿宋" w:cs="仿宋_GB2312"/>
          <w:color w:val="FF0000"/>
          <w:kern w:val="0"/>
          <w:sz w:val="32"/>
          <w:szCs w:val="32"/>
          <w:lang w:eastAsia="zh-CN"/>
        </w:rPr>
        <w:t>资金</w:t>
      </w:r>
      <w:r>
        <w:rPr>
          <w:rFonts w:hint="eastAsia" w:ascii="仿宋" w:hAnsi="仿宋" w:eastAsia="仿宋" w:cs="仿宋_GB2312"/>
          <w:kern w:val="0"/>
          <w:sz w:val="32"/>
          <w:szCs w:val="32"/>
          <w:lang w:val="en-US" w:eastAsia="zh-CN"/>
        </w:rPr>
        <w:t>保障</w:t>
      </w:r>
      <w:r>
        <w:rPr>
          <w:rFonts w:hint="eastAsia" w:ascii="仿宋" w:hAnsi="仿宋" w:eastAsia="仿宋" w:cs="仿宋_GB2312"/>
          <w:kern w:val="0"/>
          <w:sz w:val="32"/>
          <w:szCs w:val="32"/>
        </w:rPr>
        <w:t>。优化招商机制，坚持主要领导抓大项目、抓重点项目，建立永嘉县数字经济重大项目库。定期召开数字经济重点项目调度会，强化跟踪服务和督导考核。</w:t>
      </w:r>
    </w:p>
    <w:p>
      <w:pPr>
        <w:keepNext w:val="0"/>
        <w:keepLines w:val="0"/>
        <w:pageBreakBefore w:val="0"/>
        <w:kinsoku/>
        <w:wordWrap/>
        <w:overflowPunct/>
        <w:topLinePunct w:val="0"/>
        <w:autoSpaceDE/>
        <w:autoSpaceDN/>
        <w:bidi w:val="0"/>
        <w:adjustRightInd/>
        <w:spacing w:before="190" w:beforeLines="50" w:after="190" w:afterLines="50" w:line="560" w:lineRule="exact"/>
        <w:ind w:firstLine="640"/>
        <w:textAlignment w:val="auto"/>
        <w:outlineLvl w:val="1"/>
        <w:rPr>
          <w:rFonts w:ascii="楷体" w:hAnsi="楷体" w:eastAsia="楷体" w:cs="楷体"/>
          <w:kern w:val="0"/>
          <w:sz w:val="32"/>
          <w:szCs w:val="32"/>
        </w:rPr>
      </w:pPr>
      <w:bookmarkStart w:id="1124" w:name="_Toc21084"/>
      <w:bookmarkStart w:id="1125" w:name="_Toc7905"/>
      <w:bookmarkStart w:id="1126" w:name="_Toc7994"/>
      <w:bookmarkStart w:id="1127" w:name="_Toc12366"/>
      <w:bookmarkStart w:id="1128" w:name="_Toc2736"/>
      <w:bookmarkStart w:id="1129" w:name="_Toc20440"/>
      <w:bookmarkStart w:id="1130" w:name="_Toc30900"/>
      <w:bookmarkStart w:id="1131" w:name="_Toc32377"/>
      <w:bookmarkStart w:id="1132" w:name="_Toc16934"/>
      <w:bookmarkStart w:id="1133" w:name="_Toc5144"/>
      <w:bookmarkStart w:id="1134" w:name="_Toc375"/>
      <w:bookmarkStart w:id="1135" w:name="_Toc20057"/>
      <w:bookmarkStart w:id="1136" w:name="_Toc24600"/>
      <w:bookmarkStart w:id="1137" w:name="_Toc5865"/>
      <w:bookmarkStart w:id="1138" w:name="_Toc8033"/>
      <w:bookmarkStart w:id="1139" w:name="_Toc29816"/>
      <w:bookmarkStart w:id="1140" w:name="_Toc20853"/>
      <w:bookmarkStart w:id="1141" w:name="_Toc6999"/>
      <w:bookmarkStart w:id="1142" w:name="_Toc31524"/>
      <w:bookmarkStart w:id="1143" w:name="_Toc27433"/>
      <w:bookmarkStart w:id="1144" w:name="_Toc2977"/>
      <w:bookmarkStart w:id="1145" w:name="_Toc10658"/>
      <w:bookmarkStart w:id="1146" w:name="_Toc439"/>
      <w:bookmarkStart w:id="1147" w:name="_Toc15666"/>
      <w:bookmarkStart w:id="1148" w:name="_Toc18537"/>
      <w:bookmarkStart w:id="1149" w:name="_Toc13800"/>
      <w:bookmarkStart w:id="1150" w:name="_Toc30811"/>
      <w:bookmarkStart w:id="1151" w:name="_Toc4988"/>
      <w:bookmarkStart w:id="1152" w:name="_Toc25639"/>
      <w:bookmarkStart w:id="1153" w:name="_Toc2175"/>
      <w:bookmarkStart w:id="1154" w:name="_Toc19907"/>
      <w:bookmarkStart w:id="1155" w:name="_Toc11584"/>
      <w:bookmarkStart w:id="1156" w:name="_Toc10189"/>
      <w:bookmarkStart w:id="1157" w:name="_Toc652"/>
      <w:r>
        <w:rPr>
          <w:rFonts w:hint="eastAsia" w:ascii="楷体" w:hAnsi="楷体" w:eastAsia="楷体" w:cs="楷体"/>
          <w:kern w:val="0"/>
          <w:sz w:val="32"/>
          <w:szCs w:val="32"/>
        </w:rPr>
        <w:t>（三）聚集资源，强化发展要素保障</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27"/>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强化</w:t>
      </w:r>
      <w:r>
        <w:rPr>
          <w:rFonts w:hint="eastAsia" w:ascii="仿宋" w:hAnsi="仿宋" w:eastAsia="仿宋" w:cs="仿宋_GB2312"/>
          <w:kern w:val="0"/>
          <w:sz w:val="32"/>
          <w:szCs w:val="32"/>
        </w:rPr>
        <w:t>资金、土地、能耗等要素</w:t>
      </w:r>
      <w:r>
        <w:rPr>
          <w:rFonts w:hint="eastAsia" w:ascii="仿宋" w:hAnsi="仿宋" w:eastAsia="仿宋" w:cs="仿宋_GB2312"/>
          <w:kern w:val="0"/>
          <w:sz w:val="32"/>
          <w:szCs w:val="32"/>
          <w:lang w:val="en-US" w:eastAsia="zh-CN"/>
        </w:rPr>
        <w:t>保障</w:t>
      </w:r>
      <w:r>
        <w:rPr>
          <w:rFonts w:hint="eastAsia" w:ascii="仿宋" w:hAnsi="仿宋" w:eastAsia="仿宋" w:cs="仿宋_GB2312"/>
          <w:kern w:val="0"/>
          <w:sz w:val="32"/>
          <w:szCs w:val="32"/>
        </w:rPr>
        <w:t>。建立完善适应数字经济发展的金融服务体系，创新金融产品和服务，引导社会资本向数字经济领域倾斜。</w:t>
      </w:r>
      <w:r>
        <w:rPr>
          <w:rFonts w:hint="eastAsia" w:ascii="仿宋" w:hAnsi="仿宋" w:eastAsia="仿宋" w:cs="仿宋_GB2312"/>
          <w:kern w:val="0"/>
          <w:sz w:val="32"/>
          <w:szCs w:val="32"/>
          <w:lang w:val="en-US" w:eastAsia="zh-CN"/>
        </w:rPr>
        <w:t>加强</w:t>
      </w:r>
      <w:r>
        <w:rPr>
          <w:rFonts w:hint="eastAsia" w:ascii="仿宋" w:hAnsi="仿宋" w:eastAsia="仿宋" w:cs="仿宋_GB2312"/>
          <w:kern w:val="0"/>
          <w:sz w:val="32"/>
          <w:szCs w:val="32"/>
        </w:rPr>
        <w:t>土地要素</w:t>
      </w:r>
      <w:r>
        <w:rPr>
          <w:rFonts w:hint="eastAsia" w:ascii="仿宋" w:hAnsi="仿宋" w:eastAsia="仿宋" w:cs="仿宋_GB2312"/>
          <w:kern w:val="0"/>
          <w:sz w:val="32"/>
          <w:szCs w:val="32"/>
          <w:lang w:val="en-US" w:eastAsia="zh-CN"/>
        </w:rPr>
        <w:t>保障</w:t>
      </w:r>
      <w:r>
        <w:rPr>
          <w:rFonts w:hint="eastAsia" w:ascii="仿宋" w:hAnsi="仿宋" w:eastAsia="仿宋" w:cs="仿宋_GB2312"/>
          <w:kern w:val="0"/>
          <w:sz w:val="32"/>
          <w:szCs w:val="32"/>
        </w:rPr>
        <w:t>，盘活低效闲置用地，充分利用存量土地资源，开发新工业用地，优先保障优质数字经济企业及项目。强化能源指标保障，推进能耗指标优化配置和高效利用，优先保障数据中心及数字经济重点项目建设。</w:t>
      </w:r>
    </w:p>
    <w:p>
      <w:pPr>
        <w:keepNext w:val="0"/>
        <w:keepLines w:val="0"/>
        <w:pageBreakBefore w:val="0"/>
        <w:kinsoku/>
        <w:wordWrap/>
        <w:overflowPunct/>
        <w:topLinePunct w:val="0"/>
        <w:autoSpaceDE/>
        <w:autoSpaceDN/>
        <w:bidi w:val="0"/>
        <w:adjustRightInd/>
        <w:snapToGrid w:val="0"/>
        <w:spacing w:before="190" w:beforeLines="50" w:after="190" w:afterLines="50" w:line="560" w:lineRule="exact"/>
        <w:ind w:firstLine="640"/>
        <w:textAlignment w:val="auto"/>
        <w:outlineLvl w:val="1"/>
        <w:rPr>
          <w:rFonts w:hint="eastAsia" w:ascii="楷体" w:hAnsi="楷体" w:eastAsia="楷体" w:cs="楷体"/>
          <w:kern w:val="0"/>
          <w:sz w:val="32"/>
          <w:szCs w:val="32"/>
          <w:lang w:val="en-US" w:eastAsia="zh-CN"/>
        </w:rPr>
      </w:pPr>
      <w:bookmarkStart w:id="1158" w:name="_Toc1009"/>
      <w:bookmarkStart w:id="1159" w:name="_Toc26570"/>
      <w:bookmarkStart w:id="1160" w:name="_Toc5711"/>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四</w:t>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安全防护，强化网络安全保障</w:t>
      </w:r>
      <w:bookmarkEnd w:id="1158"/>
      <w:bookmarkEnd w:id="1159"/>
      <w:bookmarkEnd w:id="1160"/>
    </w:p>
    <w:p>
      <w:pPr>
        <w:pStyle w:val="27"/>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lang w:val="en-US" w:eastAsia="zh-CN"/>
        </w:rPr>
      </w:pPr>
      <w:r>
        <w:rPr>
          <w:rFonts w:hint="eastAsia" w:ascii="仿宋" w:hAnsi="仿宋" w:eastAsia="仿宋" w:cs="仿宋_GB2312"/>
          <w:kern w:val="0"/>
          <w:sz w:val="32"/>
          <w:szCs w:val="32"/>
          <w:lang w:val="en-US" w:eastAsia="zh-CN"/>
        </w:rPr>
        <w:t>健全网络信息安全制度体系，全面落实网络安全同步规划、同步建设、同步实施要求，推动安全与应用协调发展。贯彻落实国家网络安全相关法律法规，健全安全等级保护、涉密信息系统分级保护、风险评估制度、预警和应急处置制度，建立网络安全保密工作责任制。加强对工业控制系统信息安全监管，加强重点行业网络安全防护和定期检查，提升网络安全态势感知、主动防御、监测 预警、安全防护能力。</w:t>
      </w:r>
    </w:p>
    <w:p>
      <w:pPr>
        <w:keepNext w:val="0"/>
        <w:keepLines w:val="0"/>
        <w:pageBreakBefore w:val="0"/>
        <w:kinsoku/>
        <w:wordWrap/>
        <w:overflowPunct/>
        <w:topLinePunct w:val="0"/>
        <w:autoSpaceDE/>
        <w:autoSpaceDN/>
        <w:bidi w:val="0"/>
        <w:adjustRightInd/>
        <w:snapToGrid w:val="0"/>
        <w:spacing w:before="190" w:beforeLines="50" w:after="190" w:afterLines="50" w:line="560" w:lineRule="exact"/>
        <w:ind w:firstLine="640"/>
        <w:textAlignment w:val="auto"/>
        <w:outlineLvl w:val="1"/>
        <w:rPr>
          <w:rFonts w:ascii="楷体" w:hAnsi="楷体" w:eastAsia="楷体" w:cs="楷体"/>
          <w:kern w:val="0"/>
          <w:sz w:val="32"/>
          <w:szCs w:val="32"/>
        </w:rPr>
      </w:pPr>
      <w:bookmarkStart w:id="1161" w:name="_Toc1344"/>
      <w:bookmarkStart w:id="1162" w:name="_Toc18367"/>
      <w:bookmarkStart w:id="1163" w:name="_Toc12478"/>
      <w:bookmarkStart w:id="1164" w:name="_Toc25830"/>
      <w:bookmarkStart w:id="1165" w:name="_Toc19106"/>
      <w:bookmarkStart w:id="1166" w:name="_Toc32704"/>
      <w:bookmarkStart w:id="1167" w:name="_Toc16326"/>
      <w:bookmarkStart w:id="1168" w:name="_Toc20607"/>
      <w:bookmarkStart w:id="1169" w:name="_Toc6469"/>
      <w:bookmarkStart w:id="1170" w:name="_Toc14303"/>
      <w:bookmarkStart w:id="1171" w:name="_Toc17141"/>
      <w:bookmarkStart w:id="1172" w:name="_Toc20714"/>
      <w:bookmarkStart w:id="1173" w:name="_Toc1942"/>
      <w:bookmarkStart w:id="1174" w:name="_Toc25562"/>
      <w:bookmarkStart w:id="1175" w:name="_Toc21286"/>
      <w:bookmarkStart w:id="1176" w:name="_Toc2953"/>
      <w:bookmarkStart w:id="1177" w:name="_Toc1744"/>
      <w:bookmarkStart w:id="1178" w:name="_Toc10654"/>
      <w:bookmarkStart w:id="1179" w:name="_Toc32261"/>
      <w:bookmarkStart w:id="1180" w:name="_Toc11428"/>
      <w:bookmarkStart w:id="1181" w:name="_Toc16893"/>
      <w:bookmarkStart w:id="1182" w:name="_Toc8887"/>
      <w:bookmarkStart w:id="1183" w:name="_Toc30513"/>
      <w:bookmarkStart w:id="1184" w:name="_Toc841"/>
      <w:bookmarkStart w:id="1185" w:name="_Toc5859"/>
      <w:bookmarkStart w:id="1186" w:name="_Toc9131"/>
      <w:bookmarkStart w:id="1187" w:name="_Toc13008"/>
      <w:bookmarkStart w:id="1188" w:name="_Toc5881"/>
      <w:bookmarkStart w:id="1189" w:name="_Toc27161"/>
      <w:bookmarkStart w:id="1190" w:name="_Toc28061"/>
      <w:bookmarkStart w:id="1191" w:name="_Toc22839"/>
      <w:bookmarkStart w:id="1192" w:name="_Toc25507"/>
      <w:bookmarkStart w:id="1193" w:name="_Toc1626"/>
      <w:bookmarkStart w:id="1194" w:name="_Toc26172"/>
      <w:r>
        <w:rPr>
          <w:rFonts w:hint="eastAsia" w:ascii="楷体" w:hAnsi="楷体" w:eastAsia="楷体" w:cs="楷体"/>
          <w:kern w:val="0"/>
          <w:sz w:val="32"/>
          <w:szCs w:val="32"/>
        </w:rPr>
        <w:t>（</w:t>
      </w:r>
      <w:r>
        <w:rPr>
          <w:rFonts w:hint="eastAsia" w:ascii="楷体" w:hAnsi="楷体" w:eastAsia="楷体" w:cs="楷体"/>
          <w:kern w:val="0"/>
          <w:sz w:val="32"/>
          <w:szCs w:val="32"/>
          <w:lang w:val="en-US" w:eastAsia="zh-CN"/>
        </w:rPr>
        <w:t>五</w:t>
      </w:r>
      <w:r>
        <w:rPr>
          <w:rFonts w:hint="eastAsia" w:ascii="楷体" w:hAnsi="楷体" w:eastAsia="楷体" w:cs="楷体"/>
          <w:kern w:val="0"/>
          <w:sz w:val="32"/>
          <w:szCs w:val="32"/>
        </w:rPr>
        <w:t>）营造氛围，丰富引导宣传</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hint="eastAsia" w:ascii="楷体" w:hAnsi="楷体" w:eastAsia="楷体" w:cs="楷体"/>
          <w:kern w:val="0"/>
          <w:sz w:val="32"/>
          <w:szCs w:val="32"/>
        </w:rPr>
        <w:t>形式</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27"/>
        <w:keepNext w:val="0"/>
        <w:keepLines w:val="0"/>
        <w:pageBreakBefore w:val="0"/>
        <w:kinsoku/>
        <w:wordWrap/>
        <w:overflowPunct/>
        <w:topLinePunct w:val="0"/>
        <w:autoSpaceDE/>
        <w:autoSpaceDN/>
        <w:bidi w:val="0"/>
        <w:adjustRightInd/>
        <w:snapToGrid w:val="0"/>
        <w:spacing w:line="560" w:lineRule="exact"/>
        <w:ind w:firstLine="640"/>
        <w:textAlignment w:val="auto"/>
        <w:rPr>
          <w:rFonts w:ascii="仿宋" w:hAnsi="仿宋" w:eastAsia="仿宋" w:cs="仿宋_GB2312"/>
          <w:kern w:val="0"/>
          <w:sz w:val="32"/>
          <w:szCs w:val="32"/>
        </w:rPr>
      </w:pPr>
      <w:r>
        <w:rPr>
          <w:rFonts w:hint="eastAsia" w:ascii="仿宋" w:hAnsi="仿宋" w:eastAsia="仿宋" w:cs="仿宋_GB2312"/>
          <w:kern w:val="0"/>
          <w:sz w:val="32"/>
          <w:szCs w:val="32"/>
        </w:rPr>
        <w:t>制定数字经济宣传方案，加大对数字经济的宣传力度，在永嘉主流媒体开设“数字经济”建设专栏，充分发挥舆论主阵地作用，开展广泛深入地宣传。组织召开数字经济现场会、推进会，及时总结数字经济的典型做法、成效和经验，加强与其他先进县市的交流与合作。组织举办数字经济专题培训班，</w:t>
      </w:r>
      <w:r>
        <w:rPr>
          <w:rFonts w:hint="eastAsia" w:ascii="仿宋" w:hAnsi="仿宋" w:eastAsia="仿宋" w:cs="仿宋_GB2312"/>
          <w:kern w:val="0"/>
          <w:sz w:val="32"/>
          <w:szCs w:val="32"/>
          <w:lang w:val="en-US" w:eastAsia="zh-CN"/>
        </w:rPr>
        <w:t>以及</w:t>
      </w:r>
      <w:r>
        <w:rPr>
          <w:rFonts w:hint="eastAsia" w:ascii="仿宋" w:hAnsi="仿宋" w:eastAsia="仿宋" w:cs="仿宋_GB2312"/>
          <w:kern w:val="0"/>
          <w:sz w:val="32"/>
          <w:szCs w:val="32"/>
        </w:rPr>
        <w:t>数字经济领域的双创大赛、创客大赛</w:t>
      </w:r>
      <w:r>
        <w:rPr>
          <w:rFonts w:hint="eastAsia" w:ascii="仿宋" w:hAnsi="仿宋" w:eastAsia="仿宋" w:cs="仿宋_GB2312"/>
          <w:kern w:val="0"/>
          <w:sz w:val="32"/>
          <w:szCs w:val="32"/>
          <w:lang w:val="en-US" w:eastAsia="zh-CN"/>
        </w:rPr>
        <w:t>等活动</w:t>
      </w:r>
      <w:r>
        <w:rPr>
          <w:rFonts w:hint="eastAsia" w:ascii="仿宋" w:hAnsi="仿宋" w:eastAsia="仿宋" w:cs="仿宋_GB2312"/>
          <w:kern w:val="0"/>
          <w:sz w:val="32"/>
          <w:szCs w:val="32"/>
        </w:rPr>
        <w:t>。</w:t>
      </w:r>
    </w:p>
    <w:p>
      <w:pPr>
        <w:ind w:firstLine="0" w:firstLineChars="0"/>
        <w:rPr>
          <w:rFonts w:ascii="黑体" w:hAnsi="黑体" w:eastAsia="黑体" w:cs="黑体"/>
          <w:bCs/>
          <w:sz w:val="32"/>
          <w:szCs w:val="32"/>
        </w:rPr>
        <w:sectPr>
          <w:footerReference r:id="rId13" w:type="default"/>
          <w:pgSz w:w="11906" w:h="16838"/>
          <w:pgMar w:top="1644" w:right="1644" w:bottom="1644" w:left="1644" w:header="851" w:footer="992" w:gutter="0"/>
          <w:pgNumType w:start="1"/>
          <w:cols w:space="425" w:num="1"/>
          <w:docGrid w:type="lines" w:linePitch="381" w:charSpace="0"/>
        </w:sectPr>
      </w:pPr>
      <w:bookmarkStart w:id="1195" w:name="_Toc26783"/>
    </w:p>
    <w:bookmarkEnd w:id="1195"/>
    <w:p>
      <w:pPr>
        <w:spacing w:before="156" w:beforeLines="50" w:after="156" w:afterLines="50"/>
        <w:ind w:firstLine="0" w:firstLineChars="0"/>
        <w:outlineLvl w:val="0"/>
        <w:rPr>
          <w:rFonts w:ascii="黑体" w:hAnsi="黑体" w:eastAsia="黑体" w:cs="黑体"/>
          <w:bCs/>
          <w:sz w:val="32"/>
          <w:szCs w:val="32"/>
        </w:rPr>
      </w:pPr>
      <w:bookmarkStart w:id="1196" w:name="_Toc17435"/>
      <w:bookmarkStart w:id="1197" w:name="_Toc32195"/>
      <w:bookmarkStart w:id="1198" w:name="_Toc15106"/>
      <w:bookmarkStart w:id="1199" w:name="_Toc16520"/>
      <w:bookmarkStart w:id="1200" w:name="_Toc30481"/>
      <w:bookmarkStart w:id="1201" w:name="_Toc22334"/>
      <w:bookmarkStart w:id="1202" w:name="_Toc32167"/>
      <w:bookmarkStart w:id="1203" w:name="_Toc2986"/>
      <w:bookmarkStart w:id="1204" w:name="_Toc7739"/>
      <w:bookmarkStart w:id="1205" w:name="_Toc9030"/>
      <w:bookmarkStart w:id="1206" w:name="_Toc21832"/>
      <w:r>
        <w:rPr>
          <w:rFonts w:hint="eastAsia" w:ascii="黑体" w:hAnsi="黑体" w:eastAsia="黑体" w:cs="黑体"/>
          <w:bCs/>
          <w:sz w:val="32"/>
          <w:szCs w:val="32"/>
        </w:rPr>
        <w:t>附件1 永嘉县“十四五”数字经济重点项目（载体平台类）</w:t>
      </w:r>
      <w:bookmarkEnd w:id="1196"/>
      <w:bookmarkEnd w:id="1197"/>
      <w:bookmarkEnd w:id="1198"/>
      <w:bookmarkEnd w:id="1199"/>
      <w:bookmarkEnd w:id="1200"/>
      <w:bookmarkEnd w:id="1201"/>
      <w:bookmarkEnd w:id="1202"/>
      <w:bookmarkEnd w:id="1203"/>
      <w:bookmarkEnd w:id="1204"/>
      <w:bookmarkEnd w:id="1205"/>
      <w:bookmarkEnd w:id="1206"/>
    </w:p>
    <w:tbl>
      <w:tblPr>
        <w:tblStyle w:val="29"/>
        <w:tblW w:w="13993" w:type="dxa"/>
        <w:jc w:val="center"/>
        <w:tblLayout w:type="autofit"/>
        <w:tblCellMar>
          <w:top w:w="0" w:type="dxa"/>
          <w:left w:w="108" w:type="dxa"/>
          <w:bottom w:w="0" w:type="dxa"/>
          <w:right w:w="108" w:type="dxa"/>
        </w:tblCellMar>
      </w:tblPr>
      <w:tblGrid>
        <w:gridCol w:w="596"/>
        <w:gridCol w:w="1774"/>
        <w:gridCol w:w="7757"/>
        <w:gridCol w:w="1078"/>
        <w:gridCol w:w="1476"/>
        <w:gridCol w:w="1312"/>
      </w:tblGrid>
      <w:tr>
        <w:tblPrEx>
          <w:tblCellMar>
            <w:top w:w="0" w:type="dxa"/>
            <w:left w:w="108" w:type="dxa"/>
            <w:bottom w:w="0" w:type="dxa"/>
            <w:right w:w="108" w:type="dxa"/>
          </w:tblCellMar>
        </w:tblPrEx>
        <w:trPr>
          <w:trHeight w:val="618"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序号</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平台名称</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项目简介</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总投资（万元）</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建设周期</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000000"/>
                <w:sz w:val="21"/>
                <w:szCs w:val="21"/>
              </w:rPr>
            </w:pPr>
            <w:r>
              <w:rPr>
                <w:rFonts w:hint="eastAsia" w:ascii="黑体" w:hAnsi="宋体" w:eastAsia="黑体" w:cs="黑体"/>
                <w:color w:val="000000"/>
                <w:kern w:val="0"/>
                <w:sz w:val="21"/>
                <w:szCs w:val="21"/>
                <w:lang w:bidi="ar"/>
              </w:rPr>
              <w:t>责任单位</w:t>
            </w:r>
          </w:p>
        </w:tc>
      </w:tr>
      <w:tr>
        <w:tblPrEx>
          <w:tblCellMar>
            <w:top w:w="0" w:type="dxa"/>
            <w:left w:w="108" w:type="dxa"/>
            <w:bottom w:w="0" w:type="dxa"/>
            <w:right w:w="108" w:type="dxa"/>
          </w:tblCellMar>
        </w:tblPrEx>
        <w:trPr>
          <w:trHeight w:val="136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永嘉数字经济产业园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用地约90.5385亩。项目一期位于三江核心区B01-06、B01-07两个地块,占地约15亩，打造永嘉大数据中心和数字经济产业链。项目计划建成办公创业区、数据中心区、综合服务区、生活配套区四个功能板块，谋划招引全国优质数字经济企业落地永嘉。</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2022-2027</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三江街道</w:t>
            </w:r>
          </w:p>
        </w:tc>
      </w:tr>
      <w:tr>
        <w:tblPrEx>
          <w:tblCellMar>
            <w:top w:w="0" w:type="dxa"/>
            <w:left w:w="108" w:type="dxa"/>
            <w:bottom w:w="0" w:type="dxa"/>
            <w:right w:w="108" w:type="dxa"/>
          </w:tblCellMar>
        </w:tblPrEx>
        <w:trPr>
          <w:trHeight w:val="72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三江总部经济园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占地117亩，拟引进总部类企业、服务类企业、基金类企业等产业为主的经济园。</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2023-2025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三江街道</w:t>
            </w:r>
          </w:p>
        </w:tc>
      </w:tr>
      <w:tr>
        <w:tblPrEx>
          <w:tblCellMar>
            <w:top w:w="0" w:type="dxa"/>
            <w:left w:w="108" w:type="dxa"/>
            <w:bottom w:w="0" w:type="dxa"/>
            <w:right w:w="108" w:type="dxa"/>
          </w:tblCellMar>
        </w:tblPrEx>
        <w:trPr>
          <w:trHeight w:val="82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黄田（电商）数字经济产业园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总用地73.21亩，计划打造电商数字经济产业园。</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60000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2022-2024</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黄田街道</w:t>
            </w:r>
          </w:p>
        </w:tc>
      </w:tr>
      <w:tr>
        <w:tblPrEx>
          <w:tblCellMar>
            <w:top w:w="0" w:type="dxa"/>
            <w:left w:w="108" w:type="dxa"/>
            <w:bottom w:w="0" w:type="dxa"/>
            <w:right w:w="108" w:type="dxa"/>
          </w:tblCellMar>
        </w:tblPrEx>
        <w:trPr>
          <w:trHeight w:val="106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4</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永嘉物联智造小镇</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围绕“物联物流与制造、创造美好生活”的设计理念，推进物流与制造融合发展，集聚快递包装物流、厂内物流装备和绿色物流基建，打造一基地、一研究院、一大数据平台，实现嵌入物联网价值链，推动产业基础高级化、产业链现代化。打造成我国“物流与制造深度融合的先行区”。</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547600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2021-2025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县发改局*、乌牛街道</w:t>
            </w:r>
          </w:p>
        </w:tc>
      </w:tr>
      <w:tr>
        <w:tblPrEx>
          <w:tblCellMar>
            <w:top w:w="0" w:type="dxa"/>
            <w:left w:w="108" w:type="dxa"/>
            <w:bottom w:w="0" w:type="dxa"/>
            <w:right w:w="108" w:type="dxa"/>
          </w:tblCellMar>
        </w:tblPrEx>
        <w:trPr>
          <w:trHeight w:val="88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5</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永嘉教玩具小镇</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以骨干企业为引领，探索网上特色小镇建设先行、城市社区特色小镇跟进、商业连锁特色小镇试点。打造集教玩具体验引领中心、研发设计中心、交易营销中心、智能制造中心、大数据中心“五位一体”的教玩具小镇。</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550000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2018-2022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县发改局*、桥下镇</w:t>
            </w:r>
          </w:p>
        </w:tc>
      </w:tr>
      <w:tr>
        <w:tblPrEx>
          <w:tblCellMar>
            <w:top w:w="0" w:type="dxa"/>
            <w:left w:w="108" w:type="dxa"/>
            <w:bottom w:w="0" w:type="dxa"/>
            <w:right w:w="108" w:type="dxa"/>
          </w:tblCellMar>
        </w:tblPrEx>
        <w:trPr>
          <w:trHeight w:val="136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6</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产业创新服务综合体</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推进系统流程装备产业创新服务综合体、鞋革产业创新服务综合体、教育装备及游乐设备产业创新服务综合体、纽扣拉链产业创新服务综合体建设。结合各产业创新服务合体产业特点，围绕九大体系重点建设技术创新体系、政产学研用创新体系、创意设计体系、公共创新服务体系等内容。推动系统流程装备产业创新服务综合体成为省内标杆综合体，争取教育装备及游乐设备产业创新服务综合体纳入省级综合体创建名单。</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ascii="仿宋" w:hAnsi="仿宋" w:eastAsia="仿宋" w:cs="仿宋"/>
                <w:color w:val="000000"/>
                <w:sz w:val="21"/>
                <w:szCs w:val="21"/>
              </w:rPr>
              <w:t>2021-2025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县科技局*、温州系统流程装备研究院、桥下镇、桥头镇、瓯北街道</w:t>
            </w:r>
          </w:p>
        </w:tc>
      </w:tr>
      <w:tr>
        <w:tblPrEx>
          <w:tblCellMar>
            <w:top w:w="0" w:type="dxa"/>
            <w:left w:w="108" w:type="dxa"/>
            <w:bottom w:w="0" w:type="dxa"/>
            <w:right w:w="108" w:type="dxa"/>
          </w:tblCellMar>
        </w:tblPrEx>
        <w:trPr>
          <w:trHeight w:val="1120"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7</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瓯江北岸科创走廊</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实施创新平台提升工程、多元主体协同工程、企业创新赶超工程、创新人才引育工程、产业集群建设工程、创新生态优化工程、内外交通联动工程、环境品质提升工程等八大任务。科创走廊自主创新能力显著提升，科技支撑引领经济发展水平明显增强，建成自创区分园，集聚自创区先进科技成果，强化科技成果转化政策支撑。</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ascii="仿宋" w:hAnsi="仿宋" w:eastAsia="仿宋" w:cs="仿宋"/>
                <w:color w:val="000000"/>
                <w:sz w:val="21"/>
                <w:szCs w:val="21"/>
              </w:rPr>
              <w:t>2021-2025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县科技局*、相关镇街</w:t>
            </w:r>
          </w:p>
        </w:tc>
      </w:tr>
      <w:tr>
        <w:tblPrEx>
          <w:tblCellMar>
            <w:top w:w="0" w:type="dxa"/>
            <w:left w:w="108" w:type="dxa"/>
            <w:bottom w:w="0" w:type="dxa"/>
            <w:right w:w="108" w:type="dxa"/>
          </w:tblCellMar>
        </w:tblPrEx>
        <w:trPr>
          <w:trHeight w:val="746"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8</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科创飞地</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推进嘉定科创园永嘉园、杭州科创园、企业异地科创平台等建设。在上海嘉定科创园建立永嘉分园，在杭州建立科创飞地，鼓励企业在科技飞地设立研发中心，建立2处以上科创飞地。</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1650（每年550）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2021-2023</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县科技局</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9</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科研院所</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引进浙江理工大学、东南大学技术转移中心等高校到永嘉设立新型研发机构；优化提升系统流程院、兰理工泵阀院、研究生分院、NB-IOT智能泵阀联合创新实验室、杭电永嘉创新院，推动高能级平台人才集聚、建设投入、能级提升。拥有新型研发机构4家以上。</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12000（每年2000）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2021-2026</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县科技局*、温州系统流程装备科学研究院*</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瓯北泵阀科技加速器项目</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位于东瓯工业区，总用地约20亩，以快速成长企业为主要服务对象，创新服务模式，打造满足企业对于空间、管理、服务、合作等方面个性化需求的新型产业孵化平台。</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15000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11</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永嘉五金智能制造产业园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产业园总建筑面积11万平方米，建设内容包括厂房、研发生产车间、宿舍楼、配套用房等，建成后将总体提升永嘉五金智能制造产业，助推小微企业发展。</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sz w:val="21"/>
                <w:szCs w:val="21"/>
              </w:rPr>
            </w:pPr>
            <w:r>
              <w:rPr>
                <w:rFonts w:hint="eastAsia" w:ascii="仿宋" w:hAnsi="仿宋" w:eastAsia="仿宋" w:cs="仿宋"/>
                <w:kern w:val="0"/>
                <w:sz w:val="21"/>
                <w:szCs w:val="21"/>
                <w:lang w:bidi="ar"/>
              </w:rPr>
              <w:t>2019.6-2021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东城街道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12</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永嘉鞋服时尚科技产业园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产业园是浙江省千亿重大产业项目和浙江省“152”工程项目。项目占地面积近100亩，总建筑面积约30万㎡，园区将重点在提高设计研发、提升优质制造、打造世界级品牌、拓展销售渠道等板块集中发力，将打造成集智能制造、品牌设计展示、总部基地、互联网运营、产业金融、奥莱时尚产业于一体的鞋服时尚产业引擎、温州世界鞋服总部基地、温州电商产业园示范基地。</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110000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2019.9-2022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13</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永嘉裕隆鞋服科创小微园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项目为总用地面积为42000平方米，总建筑面积为180000平方米的五幢6至24层高的无装修的综合楼。</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35000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2019.12-2022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14</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瓯北跨境电商产业园</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总用地约45亩，位于东瓯工业园区，打造跨境电子商务、电商孵化、物流配送、金融支付为一体的跨境电子商务产业生态链，及提供商务中介、金融保险等服务的综合配套区。</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15</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淘宝闲鱼综合体</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淘宝闲鱼综合体是由闲鱼基地+淘宝直播基地综合组成。闲鱼基地是一个二手奢侈品综合的产业基地，是一个实体闲鱼集市+闲鱼直播集合+二手奢侈品培训+二手奢侈品电商从业者产业园的集合。</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4000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2020-2021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16</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跨境电商孵化培育平台</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rPr>
              <w:t>依托跨境电商综试区建设，引进麒麟计划，为企业免费提供“全流程、一站式、连锁化、低成本”的跨境电商综合服务，引进shopee、执御等跨境电商平台，开展跨境电商孵化和培育，帮助企业拓展海外市场。</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1230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2019-2022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县商务局</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17</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智能家居交易中心</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总用地面积约57.08亩，定位为高端家居、建材交易中心及配套大型物流中心。</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100000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2022-2025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桥头镇</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18</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浙南农产品电商交易中心</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总占地面积13亩，方案设计建筑面积1.5万平方米。</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5000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2020-2021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岩坦镇</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19</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农产品出村进城数字化公共服务中心</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建设5000平米以上具有集中采购和跨区域配送能力的永嘉县级农产品冷链集配中心和农创客直播电商创业孵化园。满足全县农产品存储集散和网销农产品商品化处理、品控分拣、打包配送、统配统送等功能，满足农产品快速流通供应链基本要求。</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3000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2021-2025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三江街道</w:t>
            </w:r>
          </w:p>
        </w:tc>
      </w:tr>
      <w:tr>
        <w:tblPrEx>
          <w:tblCellMar>
            <w:top w:w="0" w:type="dxa"/>
            <w:left w:w="108" w:type="dxa"/>
            <w:bottom w:w="0" w:type="dxa"/>
            <w:right w:w="108" w:type="dxa"/>
          </w:tblCellMar>
        </w:tblPrEx>
        <w:trPr>
          <w:trHeight w:val="994" w:hRule="atLeast"/>
          <w:tblHeader/>
          <w:jc w:val="center"/>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智慧交通产业基地</w:t>
            </w:r>
          </w:p>
        </w:tc>
        <w:tc>
          <w:tcPr>
            <w:tcW w:w="77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总用地18.3亩,建设内容包括公路全周期建养一体化产业中心、新型路面材料研发中心、交通绿色能源示范基地、智慧交通机电产业中心和交通专业人才培训中心等。</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15000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2022-2023</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黄田街道</w:t>
            </w:r>
          </w:p>
        </w:tc>
      </w:tr>
    </w:tbl>
    <w:p>
      <w:pPr>
        <w:pStyle w:val="27"/>
        <w:spacing w:line="560" w:lineRule="exact"/>
        <w:ind w:firstLine="0" w:firstLineChars="0"/>
        <w:jc w:val="left"/>
        <w:rPr>
          <w:rFonts w:ascii="仿宋" w:hAnsi="仿宋" w:eastAsia="仿宋"/>
          <w:bCs/>
          <w:sz w:val="21"/>
          <w:szCs w:val="21"/>
        </w:rPr>
      </w:pPr>
      <w:r>
        <w:rPr>
          <w:rFonts w:ascii="仿宋" w:hAnsi="仿宋" w:eastAsia="仿宋"/>
          <w:bCs/>
          <w:sz w:val="21"/>
          <w:szCs w:val="21"/>
        </w:rPr>
        <w:t>注：*为牵头单位</w:t>
      </w:r>
    </w:p>
    <w:p>
      <w:pPr>
        <w:ind w:firstLine="640"/>
        <w:rPr>
          <w:rFonts w:ascii="黑体" w:hAnsi="黑体" w:eastAsia="黑体" w:cs="黑体"/>
          <w:bCs/>
          <w:sz w:val="32"/>
          <w:szCs w:val="32"/>
        </w:rPr>
      </w:pPr>
      <w:bookmarkStart w:id="1207" w:name="_Toc19108"/>
      <w:bookmarkStart w:id="1208" w:name="_Toc15704"/>
      <w:r>
        <w:rPr>
          <w:rFonts w:hint="eastAsia" w:ascii="黑体" w:hAnsi="黑体" w:eastAsia="黑体" w:cs="黑体"/>
          <w:bCs/>
          <w:sz w:val="32"/>
          <w:szCs w:val="32"/>
        </w:rPr>
        <w:br w:type="page"/>
      </w:r>
    </w:p>
    <w:p>
      <w:pPr>
        <w:pStyle w:val="27"/>
        <w:spacing w:before="156" w:beforeLines="50" w:after="156" w:afterLines="50" w:line="560" w:lineRule="exact"/>
        <w:ind w:firstLine="0" w:firstLineChars="0"/>
        <w:outlineLvl w:val="0"/>
        <w:rPr>
          <w:rFonts w:ascii="黑体" w:hAnsi="黑体" w:eastAsia="黑体" w:cs="黑体"/>
          <w:bCs/>
          <w:sz w:val="32"/>
          <w:szCs w:val="32"/>
        </w:rPr>
      </w:pPr>
      <w:bookmarkStart w:id="1209" w:name="_Toc9649"/>
      <w:bookmarkStart w:id="1210" w:name="_Toc31855"/>
      <w:bookmarkStart w:id="1211" w:name="_Toc5692"/>
      <w:bookmarkStart w:id="1212" w:name="_Toc26567"/>
      <w:bookmarkStart w:id="1213" w:name="_Toc14908"/>
      <w:bookmarkStart w:id="1214" w:name="_Toc21201"/>
      <w:bookmarkStart w:id="1215" w:name="_Toc17036"/>
      <w:bookmarkStart w:id="1216" w:name="_Toc29295"/>
      <w:bookmarkStart w:id="1217" w:name="_Toc23771"/>
      <w:bookmarkStart w:id="1218" w:name="_Toc19136"/>
      <w:r>
        <w:rPr>
          <w:rFonts w:hint="eastAsia" w:ascii="黑体" w:hAnsi="黑体" w:eastAsia="黑体" w:cs="黑体"/>
          <w:bCs/>
          <w:sz w:val="32"/>
          <w:szCs w:val="32"/>
        </w:rPr>
        <w:t>附件2 永嘉县“十四五”数字经济重点项目（重点项目类）</w:t>
      </w:r>
      <w:bookmarkEnd w:id="1207"/>
      <w:bookmarkEnd w:id="1208"/>
      <w:bookmarkEnd w:id="1209"/>
      <w:bookmarkEnd w:id="1210"/>
      <w:bookmarkEnd w:id="1211"/>
      <w:bookmarkEnd w:id="1212"/>
      <w:bookmarkEnd w:id="1213"/>
      <w:bookmarkEnd w:id="1214"/>
      <w:bookmarkEnd w:id="1215"/>
      <w:bookmarkEnd w:id="1216"/>
      <w:bookmarkEnd w:id="1217"/>
      <w:bookmarkEnd w:id="1218"/>
    </w:p>
    <w:tbl>
      <w:tblPr>
        <w:tblStyle w:val="29"/>
        <w:tblW w:w="13738" w:type="dxa"/>
        <w:jc w:val="center"/>
        <w:tblLayout w:type="fixed"/>
        <w:tblCellMar>
          <w:top w:w="0" w:type="dxa"/>
          <w:left w:w="108" w:type="dxa"/>
          <w:bottom w:w="0" w:type="dxa"/>
          <w:right w:w="108" w:type="dxa"/>
        </w:tblCellMar>
      </w:tblPr>
      <w:tblGrid>
        <w:gridCol w:w="599"/>
        <w:gridCol w:w="2568"/>
        <w:gridCol w:w="1695"/>
        <w:gridCol w:w="5381"/>
        <w:gridCol w:w="1009"/>
        <w:gridCol w:w="1429"/>
        <w:gridCol w:w="1057"/>
      </w:tblGrid>
      <w:tr>
        <w:tblPrEx>
          <w:tblCellMar>
            <w:top w:w="0" w:type="dxa"/>
            <w:left w:w="108" w:type="dxa"/>
            <w:bottom w:w="0" w:type="dxa"/>
            <w:right w:w="108" w:type="dxa"/>
          </w:tblCellMar>
        </w:tblPrEx>
        <w:trPr>
          <w:trHeight w:val="6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bookmarkStart w:id="1219" w:name="_Toc26085"/>
            <w:r>
              <w:rPr>
                <w:rFonts w:hint="eastAsia" w:ascii="黑体" w:hAnsi="宋体" w:eastAsia="黑体" w:cs="黑体"/>
                <w:color w:val="auto"/>
                <w:kern w:val="0"/>
                <w:sz w:val="21"/>
                <w:szCs w:val="21"/>
                <w:lang w:bidi="ar"/>
              </w:rPr>
              <w:t>序号</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项目名称</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建设单位</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项目简介</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总投资（万元）</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建设周期</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黑体" w:hAnsi="宋体" w:eastAsia="黑体" w:cs="黑体"/>
                <w:color w:val="auto"/>
                <w:sz w:val="21"/>
                <w:szCs w:val="21"/>
              </w:rPr>
            </w:pPr>
            <w:r>
              <w:rPr>
                <w:rFonts w:hint="eastAsia" w:ascii="黑体" w:hAnsi="宋体" w:eastAsia="黑体" w:cs="黑体"/>
                <w:color w:val="auto"/>
                <w:kern w:val="0"/>
                <w:sz w:val="21"/>
                <w:szCs w:val="21"/>
                <w:lang w:bidi="ar"/>
              </w:rPr>
              <w:t>责任单位</w:t>
            </w:r>
          </w:p>
        </w:tc>
      </w:tr>
      <w:tr>
        <w:tblPrEx>
          <w:tblCellMar>
            <w:top w:w="0" w:type="dxa"/>
            <w:left w:w="108" w:type="dxa"/>
            <w:bottom w:w="0" w:type="dxa"/>
            <w:right w:w="108" w:type="dxa"/>
          </w:tblCellMar>
        </w:tblPrEx>
        <w:trPr>
          <w:trHeight w:val="8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年产10000吨高参数特种波纹管阀门及蒸汽系统AI智能制造基地项目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纽顿流体科技有限公司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项目总用地面积为36937.24m²，总建筑面积76995m²。项目建成后可实现年产值6亿元，年创税收4千万元以上。</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35000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2022-2024</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8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年产80万台光伏、风电、充电桩、轨道交通、5G等专用接触器及配套电器研发、试验与制造基地项目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浙江兆正机电有限公司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为24728.4m²，总建筑面积42190m²。项目计划引进建设多条自动化组装线、多套先进零件生产加工设备，如自动高速冲床，大型注塑机，自动绕线机，热固机，自动整形机以及自行研发的机器人检测等设备，对产品例行全检查，确保产品质量可靠。</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28000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2022-2024</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108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年产1720台套智能供氧调压站产品及高端智能球阀6000套产品项目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浙江凯泰阀门科技有限公司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为21776.81m²，总建筑面积45104m²。项目属于永嘉县总部回归合作项目，项目建设利于进一步促进永嘉县总部经济发展，招引和培育一批高质量总部企业，带动有效投资，项目已经永嘉县发展和改革局备案。</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27000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2022-2024</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8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年产5亿片芯片和1000台芯片测试设备建设项目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温州睿迪电子科技有限公司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项目总用地面积6.586亩，总建筑面积10841.2平方米，计划总投资5000万元。项目建成后将从事高端芯片和数字化测试设备的研发和制造，项目投产后将成为温州重要芯片生产基地。</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2020-2022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58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丰宝客智能包裹箱生产基地项目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温州丰宝客科技有限公司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项目总用地面积75亩。项目将以“万物互联、智能制造”为主题，打造以绿色、循环经济为特色的智能物流包装项目。该项目生产的包裹箱可循环使用上百次，能实现可视化动态追踪。</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40000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2020-2022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66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6</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年产2000台套智能化服装设备建设项目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浙江东蒙智能科技有限公司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项目总用地面积26249.67平方米，总建筑面积44000平方米。项目建成后年产2000台（套）智能化服装设备。</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12600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ascii="仿宋" w:hAnsi="仿宋" w:eastAsia="仿宋" w:cs="仿宋"/>
                <w:color w:val="auto"/>
                <w:sz w:val="21"/>
                <w:szCs w:val="21"/>
              </w:rPr>
              <w:t>202</w:t>
            </w:r>
            <w:r>
              <w:rPr>
                <w:rFonts w:hint="eastAsia" w:ascii="仿宋" w:hAnsi="仿宋" w:eastAsia="仿宋" w:cs="仿宋"/>
                <w:color w:val="auto"/>
                <w:sz w:val="21"/>
                <w:szCs w:val="21"/>
              </w:rPr>
              <w:t>0</w:t>
            </w:r>
            <w:r>
              <w:rPr>
                <w:rFonts w:ascii="仿宋" w:hAnsi="仿宋" w:eastAsia="仿宋" w:cs="仿宋"/>
                <w:color w:val="auto"/>
                <w:sz w:val="21"/>
                <w:szCs w:val="21"/>
              </w:rPr>
              <w:t>-202</w:t>
            </w:r>
            <w:r>
              <w:rPr>
                <w:rFonts w:hint="eastAsia" w:ascii="仿宋" w:hAnsi="仿宋" w:eastAsia="仿宋" w:cs="仿宋"/>
                <w:color w:val="auto"/>
                <w:sz w:val="21"/>
                <w:szCs w:val="21"/>
              </w:rPr>
              <w:t>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66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7</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年产2万台光伏锂离子电池储能系统装备和1万台新能源电动汽车云网快速充电桩及3亿只新型固态继电器系列产品4.0智造生产线项目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申乐股份有限公司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项目总用地面积为63257.51m²，总建筑面积115000m²，年产2万台光伏锂离子电池储能系统装备和1万台新能源电动汽车云网快速充电桩及3亿只新型固态继电器系列产品。</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53800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ascii="仿宋" w:hAnsi="仿宋" w:eastAsia="仿宋" w:cs="仿宋"/>
                <w:color w:val="auto"/>
                <w:sz w:val="21"/>
                <w:szCs w:val="21"/>
              </w:rPr>
              <w:t>202</w:t>
            </w:r>
            <w:r>
              <w:rPr>
                <w:rFonts w:hint="eastAsia" w:ascii="仿宋" w:hAnsi="仿宋" w:eastAsia="仿宋" w:cs="仿宋"/>
                <w:color w:val="auto"/>
                <w:sz w:val="21"/>
                <w:szCs w:val="21"/>
              </w:rPr>
              <w:t>2</w:t>
            </w:r>
            <w:r>
              <w:rPr>
                <w:rFonts w:ascii="仿宋" w:hAnsi="仿宋" w:eastAsia="仿宋" w:cs="仿宋"/>
                <w:color w:val="auto"/>
                <w:sz w:val="21"/>
                <w:szCs w:val="21"/>
              </w:rPr>
              <w:t>-202</w:t>
            </w:r>
            <w:r>
              <w:rPr>
                <w:rFonts w:hint="eastAsia" w:ascii="仿宋" w:hAnsi="仿宋" w:eastAsia="仿宋" w:cs="仿宋"/>
                <w:color w:val="auto"/>
                <w:sz w:val="21"/>
                <w:szCs w:val="21"/>
              </w:rPr>
              <w:t>4</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40"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8</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奥康年产50万双高端舒适皮鞋智能化车间技术改造项目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浙江奥康鞋业股份有限公司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项目主要通过引进自动化流水线和智能化设备对皮鞋加工生产线进行智能化技术改造，结合信息化系统、新风系统、环保设施，打造数字化车间。流水线配备工业机器人，实现加工成型的智能化和自动化，极大地减少人工劳动力和操作强度。项目实施完成后可实现年产50万双高端舒适皮鞋。</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2200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黄田街道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9</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年产1500只高性能硬密封球阀配件技改项目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球豹阀门有限公司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采用先进的加工工艺，自动完成切磨削，购置加工中心、数控车床、高性能自动堆焊机等国产设备。项目建成后可形成年产1500只高性能硬密封球阀配件技改项目，产品具有高性能、耐磨，高精度的特点，涉及产品规格更全。可实现年销售收入2500万元，利税450万元。</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1345</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10</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年产60万只舰船及海洋工程配套产品技术改造项目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海星海事电气集团有限公司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采用CAD技术，新增近50余台国产设备。项目完成后，形成年产60万只舰船及海洋工程配套产品生产能力，产品具有高质量、实用性、高科技的专业船舶配套的特点。实现销售收入约20000万元，利税约3000万元，创汇约1900万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1076</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2021-2022</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11</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年产15000台智能真空断路器技改项目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朝瑞电气有限公司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技改项目总投资约2000万元，全力打造制造方式转型示范项目，新购置西格玛品牌数控车床、西格玛品牌数控钻工中心，百超迪能品牌全自动激光切割、MA25-3单轴数控走心机、行架机器人、焊接机器人、数字式局部放电检测系统等国内外先进设备百余台，搭建云平台、新建智能化、自动化自动装配流水线4条。通过MES制造系统、ERP管理系统，实现网络化协同制造、共享制造、个性化定制等制作新模式。整个项目建成后，实现年产15000台智能真空断路器，产品具有智能化、小型化、环保型等特点，填补行业技术空白，提高产品质量，降低产品损耗，节能降耗效果显著，项目达产后，有力提升企业市场竞争力，</w:t>
            </w:r>
            <w:r>
              <w:rPr>
                <w:rFonts w:ascii="仿宋" w:hAnsi="仿宋" w:eastAsia="仿宋" w:cs="仿宋"/>
                <w:color w:val="auto"/>
                <w:sz w:val="21"/>
                <w:szCs w:val="21"/>
              </w:rPr>
              <w:t xml:space="preserve">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2005</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12</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年产100万双皮鞋、休闲鞋智能化车间技改项目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路遥鞋业集团有限公司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主要采用皮鞋智能化生产制造技术和信息化技术的综合运用，建设透明化生产车间，新增红外线节能烘箱10台、智能冷定型机1台、智能流水线4条、智能机器人切割机、智能针车花样缝纫机、真空加硫定型机、中后扳机、载具轨道、载车、智能LED灯、智能安防、智能门禁、智能广播、智能远程视频会议、ERP系统及深信福云桌面主机设备、智能车间冷风机、水帘等国产设备100台（套），德士玛智能成型线，ATOM智能机械手等进口设备4台（套）。项目建成后形成年产100万双中高档皮鞋、休闲鞋的生产能力，产品具有外观时尚、穿着舒适、质量优秀等特点。信息化和智能化设备总投入约800万元，预计实现年销售收入30000万元，利税2000万元、创汇300万美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800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13</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单级泵年产3000台/套新品线技改项目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凯泉集团有限公司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凯泉集团新增单级泵250口径以上新产品线，通过引进6套新型数控立式车床等设备，满足生产需求，每年可新增产值1亿元。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1150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乌牛街道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14</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年产500套智能制药装备（数字化）技术改造项目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浙江迦南科技股份有限公司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主要采用数控加工、激光切割焊接、精准剪板、拆弯和刨槽等生产技术，新增数控加工中心、激光焊接机、高端抛光机、剪板机等国产设备。项目建成后形成年产500套智能制药装备（数字化）的生产能力，产品具有工艺先进、质量可靠、自动化程度高、节能降耗、生产效率显著提高等特点。预计实现年销售收入7500万元，利税2250万元、创汇200万美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3860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15</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年产30万台高端石化用阀门智能化制造车间技改项目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宣达实业集团有限公司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主要采用智能化生产制造技术新增及改造升级部分车间实现智能化、数字化、绿色化的生产，项目新增各类加工中心、数控自动焊机、数控车床、智能化产品检测检验装置及生产智能化管理系统等国产设备82台（套），项目建成后形成年产30万台高端石化用阀门阀门的生产能力，项目投产后将实现生产过程全智能生产制造，实现了绿色制造、数造化制造的目的，产品向高端制造升级是企业更具有竞争力.</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1610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hint="eastAsia" w:ascii="仿宋" w:hAnsi="仿宋" w:eastAsia="仿宋" w:cs="仿宋"/>
                <w:color w:val="auto"/>
                <w:sz w:val="21"/>
                <w:szCs w:val="21"/>
              </w:rPr>
              <w:t>2021-2023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瓯北街道</w:t>
            </w:r>
          </w:p>
        </w:tc>
      </w:tr>
      <w:tr>
        <w:tblPrEx>
          <w:tblCellMar>
            <w:top w:w="0" w:type="dxa"/>
            <w:left w:w="108" w:type="dxa"/>
            <w:bottom w:w="0" w:type="dxa"/>
            <w:right w:w="108" w:type="dxa"/>
          </w:tblCellMar>
        </w:tblPrEx>
        <w:trPr>
          <w:trHeight w:val="994" w:hRule="atLeast"/>
          <w:tblHeader/>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年产量3000吨低温阀技改项目</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浙江伯特利科技股份有限公司</w:t>
            </w:r>
          </w:p>
        </w:tc>
        <w:tc>
          <w:tcPr>
            <w:tcW w:w="5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rPr>
                <w:rFonts w:ascii="仿宋" w:hAnsi="仿宋" w:eastAsia="仿宋" w:cs="仿宋"/>
                <w:color w:val="auto"/>
                <w:sz w:val="21"/>
                <w:szCs w:val="21"/>
              </w:rPr>
            </w:pPr>
            <w:r>
              <w:rPr>
                <w:rFonts w:hint="eastAsia" w:ascii="仿宋" w:hAnsi="仿宋" w:eastAsia="仿宋" w:cs="仿宋"/>
                <w:color w:val="auto"/>
                <w:sz w:val="21"/>
                <w:szCs w:val="21"/>
              </w:rPr>
              <w:t>项目主要采用数字化技术，实现机联网，设备状态、产量等情况实时查看，让生产过程透明化。项目新增数控车床、卧式加工中心、数控铣车床等国产设备40余台。项目完成后将形成年产3000吨的生产能力，该产品具有低成本、高效率、节能、环保等特点，实现销售是收入5000万元，利税600万元。</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1500</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仿宋" w:hAnsi="仿宋" w:eastAsia="仿宋" w:cs="仿宋"/>
                <w:color w:val="auto"/>
                <w:sz w:val="21"/>
                <w:szCs w:val="21"/>
              </w:rPr>
            </w:pPr>
            <w:r>
              <w:rPr>
                <w:rFonts w:ascii="仿宋" w:hAnsi="仿宋" w:eastAsia="仿宋" w:cs="仿宋"/>
                <w:color w:val="auto"/>
                <w:sz w:val="21"/>
                <w:szCs w:val="21"/>
              </w:rPr>
              <w:t>202</w:t>
            </w:r>
            <w:r>
              <w:rPr>
                <w:rFonts w:hint="eastAsia" w:ascii="仿宋" w:hAnsi="仿宋" w:eastAsia="仿宋" w:cs="仿宋"/>
                <w:color w:val="auto"/>
                <w:sz w:val="21"/>
                <w:szCs w:val="21"/>
              </w:rPr>
              <w:t>1</w:t>
            </w:r>
            <w:r>
              <w:rPr>
                <w:rFonts w:ascii="仿宋" w:hAnsi="仿宋" w:eastAsia="仿宋" w:cs="仿宋"/>
                <w:color w:val="auto"/>
                <w:sz w:val="21"/>
                <w:szCs w:val="21"/>
              </w:rPr>
              <w:t>-20</w:t>
            </w:r>
            <w:r>
              <w:rPr>
                <w:rFonts w:hint="eastAsia" w:ascii="仿宋" w:hAnsi="仿宋" w:eastAsia="仿宋" w:cs="仿宋"/>
                <w:color w:val="auto"/>
                <w:sz w:val="21"/>
                <w:szCs w:val="21"/>
              </w:rPr>
              <w:t>23</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三江街道</w:t>
            </w:r>
          </w:p>
        </w:tc>
      </w:tr>
      <w:bookmarkEnd w:id="1219"/>
    </w:tbl>
    <w:p>
      <w:pPr>
        <w:ind w:firstLine="0" w:firstLineChars="0"/>
        <w:rPr>
          <w:rFonts w:ascii="仿宋" w:hAnsi="仿宋" w:eastAsia="仿宋"/>
          <w:bCs/>
          <w:color w:val="auto"/>
          <w:sz w:val="32"/>
          <w:szCs w:val="32"/>
        </w:rPr>
      </w:pPr>
    </w:p>
    <w:sectPr>
      <w:headerReference r:id="rId16" w:type="first"/>
      <w:footerReference r:id="rId19" w:type="first"/>
      <w:headerReference r:id="rId14" w:type="default"/>
      <w:footerReference r:id="rId17" w:type="default"/>
      <w:headerReference r:id="rId15" w:type="even"/>
      <w:footerReference r:id="rId18" w:type="even"/>
      <w:pgSz w:w="16838" w:h="11906"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848C34-665A-4AE3-BE61-FAAFB84F5D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64A2630-C81B-4442-B3A8-AF1256815E18}"/>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3" w:fontKey="{3B30EC83-613B-443A-B794-F9F88F20459B}"/>
  </w:font>
  <w:font w:name="方正小标宋_GBK">
    <w:panose1 w:val="03000509000000000000"/>
    <w:charset w:val="86"/>
    <w:family w:val="auto"/>
    <w:pitch w:val="default"/>
    <w:sig w:usb0="00000001" w:usb1="080E0000" w:usb2="00000000" w:usb3="00000000" w:csb0="00040000" w:csb1="00000000"/>
    <w:embedRegular r:id="rId4" w:fontKey="{551FEC5E-8927-4CED-A2B9-30F4E4DEA83A}"/>
  </w:font>
  <w:font w:name="文星简小标宋">
    <w:altName w:val="方正小标宋_GBK"/>
    <w:panose1 w:val="02010609000101010101"/>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embedRegular r:id="rId5" w:fontKey="{61FDDF54-576A-4529-B834-ECCA3C0AE1F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ind w:firstLine="36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35"/>
    <w:rsid w:val="000019C4"/>
    <w:rsid w:val="00004C19"/>
    <w:rsid w:val="00004F4A"/>
    <w:rsid w:val="000050A4"/>
    <w:rsid w:val="00005942"/>
    <w:rsid w:val="0001317F"/>
    <w:rsid w:val="00013F4D"/>
    <w:rsid w:val="00015529"/>
    <w:rsid w:val="00015D5A"/>
    <w:rsid w:val="00015D82"/>
    <w:rsid w:val="00016E80"/>
    <w:rsid w:val="000204DD"/>
    <w:rsid w:val="000217B8"/>
    <w:rsid w:val="00021B91"/>
    <w:rsid w:val="00023666"/>
    <w:rsid w:val="000236BE"/>
    <w:rsid w:val="00023931"/>
    <w:rsid w:val="00023A5F"/>
    <w:rsid w:val="00024CD5"/>
    <w:rsid w:val="000250D9"/>
    <w:rsid w:val="000251E4"/>
    <w:rsid w:val="000253CC"/>
    <w:rsid w:val="000258D5"/>
    <w:rsid w:val="00025998"/>
    <w:rsid w:val="00025AEA"/>
    <w:rsid w:val="00026CFB"/>
    <w:rsid w:val="000270C5"/>
    <w:rsid w:val="00027746"/>
    <w:rsid w:val="00031025"/>
    <w:rsid w:val="00031D1A"/>
    <w:rsid w:val="00031E60"/>
    <w:rsid w:val="00033BA4"/>
    <w:rsid w:val="0004069F"/>
    <w:rsid w:val="00041A23"/>
    <w:rsid w:val="00042654"/>
    <w:rsid w:val="00042ABC"/>
    <w:rsid w:val="00042CAE"/>
    <w:rsid w:val="00043556"/>
    <w:rsid w:val="00043CCA"/>
    <w:rsid w:val="00044CB3"/>
    <w:rsid w:val="00046D94"/>
    <w:rsid w:val="00046F68"/>
    <w:rsid w:val="0004755C"/>
    <w:rsid w:val="00051FBD"/>
    <w:rsid w:val="00053183"/>
    <w:rsid w:val="00054186"/>
    <w:rsid w:val="000552BC"/>
    <w:rsid w:val="00056B5C"/>
    <w:rsid w:val="00057241"/>
    <w:rsid w:val="0005783D"/>
    <w:rsid w:val="00061420"/>
    <w:rsid w:val="00063EC6"/>
    <w:rsid w:val="00064FF0"/>
    <w:rsid w:val="000661C2"/>
    <w:rsid w:val="0006688D"/>
    <w:rsid w:val="00066A13"/>
    <w:rsid w:val="00067D71"/>
    <w:rsid w:val="000705E1"/>
    <w:rsid w:val="0007250F"/>
    <w:rsid w:val="00072FA1"/>
    <w:rsid w:val="00073766"/>
    <w:rsid w:val="00074208"/>
    <w:rsid w:val="0007480D"/>
    <w:rsid w:val="00074CCF"/>
    <w:rsid w:val="00075000"/>
    <w:rsid w:val="0007521E"/>
    <w:rsid w:val="00075C65"/>
    <w:rsid w:val="00077C7C"/>
    <w:rsid w:val="00080DFE"/>
    <w:rsid w:val="000818E5"/>
    <w:rsid w:val="000831F3"/>
    <w:rsid w:val="0008412C"/>
    <w:rsid w:val="00084A56"/>
    <w:rsid w:val="00085C34"/>
    <w:rsid w:val="00085FAC"/>
    <w:rsid w:val="00086B6F"/>
    <w:rsid w:val="00086EED"/>
    <w:rsid w:val="0008762D"/>
    <w:rsid w:val="0009057C"/>
    <w:rsid w:val="00090647"/>
    <w:rsid w:val="000906C7"/>
    <w:rsid w:val="00091E01"/>
    <w:rsid w:val="0009408B"/>
    <w:rsid w:val="00095545"/>
    <w:rsid w:val="00095DFA"/>
    <w:rsid w:val="00095E05"/>
    <w:rsid w:val="00095E5D"/>
    <w:rsid w:val="00096296"/>
    <w:rsid w:val="0009732A"/>
    <w:rsid w:val="000A0C7A"/>
    <w:rsid w:val="000A27B5"/>
    <w:rsid w:val="000A3F19"/>
    <w:rsid w:val="000A6BE6"/>
    <w:rsid w:val="000B0BF7"/>
    <w:rsid w:val="000B2F3A"/>
    <w:rsid w:val="000B32A7"/>
    <w:rsid w:val="000B3B38"/>
    <w:rsid w:val="000B3C5D"/>
    <w:rsid w:val="000B3D96"/>
    <w:rsid w:val="000B46D1"/>
    <w:rsid w:val="000B4ECB"/>
    <w:rsid w:val="000B4F3D"/>
    <w:rsid w:val="000B50B5"/>
    <w:rsid w:val="000B6087"/>
    <w:rsid w:val="000B6960"/>
    <w:rsid w:val="000B6BEE"/>
    <w:rsid w:val="000C1DA1"/>
    <w:rsid w:val="000C2076"/>
    <w:rsid w:val="000C3613"/>
    <w:rsid w:val="000C5A68"/>
    <w:rsid w:val="000C6641"/>
    <w:rsid w:val="000C7086"/>
    <w:rsid w:val="000C7E7A"/>
    <w:rsid w:val="000D0855"/>
    <w:rsid w:val="000D3C30"/>
    <w:rsid w:val="000D4ED7"/>
    <w:rsid w:val="000D6096"/>
    <w:rsid w:val="000D783F"/>
    <w:rsid w:val="000D78CA"/>
    <w:rsid w:val="000E0128"/>
    <w:rsid w:val="000E223F"/>
    <w:rsid w:val="000E564B"/>
    <w:rsid w:val="000E566E"/>
    <w:rsid w:val="000F1A93"/>
    <w:rsid w:val="000F2222"/>
    <w:rsid w:val="000F22BD"/>
    <w:rsid w:val="000F2E74"/>
    <w:rsid w:val="000F52E6"/>
    <w:rsid w:val="000F5561"/>
    <w:rsid w:val="000F6909"/>
    <w:rsid w:val="000F6E48"/>
    <w:rsid w:val="001000F9"/>
    <w:rsid w:val="001021D9"/>
    <w:rsid w:val="0010422B"/>
    <w:rsid w:val="0010639F"/>
    <w:rsid w:val="00106D20"/>
    <w:rsid w:val="00107D56"/>
    <w:rsid w:val="00107D81"/>
    <w:rsid w:val="0011034E"/>
    <w:rsid w:val="00111498"/>
    <w:rsid w:val="00111D81"/>
    <w:rsid w:val="00112B17"/>
    <w:rsid w:val="00113384"/>
    <w:rsid w:val="00113766"/>
    <w:rsid w:val="001141D0"/>
    <w:rsid w:val="00114CAE"/>
    <w:rsid w:val="00115CE8"/>
    <w:rsid w:val="00117385"/>
    <w:rsid w:val="00117D26"/>
    <w:rsid w:val="00120C28"/>
    <w:rsid w:val="00121147"/>
    <w:rsid w:val="00121481"/>
    <w:rsid w:val="00122827"/>
    <w:rsid w:val="001236E0"/>
    <w:rsid w:val="00123843"/>
    <w:rsid w:val="00124454"/>
    <w:rsid w:val="0012579F"/>
    <w:rsid w:val="00125CA4"/>
    <w:rsid w:val="00127136"/>
    <w:rsid w:val="0012750B"/>
    <w:rsid w:val="001306CF"/>
    <w:rsid w:val="00130804"/>
    <w:rsid w:val="0013168D"/>
    <w:rsid w:val="0013173A"/>
    <w:rsid w:val="00132294"/>
    <w:rsid w:val="001326AC"/>
    <w:rsid w:val="0013273A"/>
    <w:rsid w:val="00133AF2"/>
    <w:rsid w:val="00134A44"/>
    <w:rsid w:val="00135E24"/>
    <w:rsid w:val="00135F61"/>
    <w:rsid w:val="00136257"/>
    <w:rsid w:val="00141069"/>
    <w:rsid w:val="001415A9"/>
    <w:rsid w:val="00142FB8"/>
    <w:rsid w:val="00143C6D"/>
    <w:rsid w:val="00144D5F"/>
    <w:rsid w:val="00145DD1"/>
    <w:rsid w:val="00146298"/>
    <w:rsid w:val="001472C6"/>
    <w:rsid w:val="00151B57"/>
    <w:rsid w:val="00152586"/>
    <w:rsid w:val="00152F33"/>
    <w:rsid w:val="0015563C"/>
    <w:rsid w:val="00155A19"/>
    <w:rsid w:val="00156049"/>
    <w:rsid w:val="00156D94"/>
    <w:rsid w:val="001579BB"/>
    <w:rsid w:val="00161892"/>
    <w:rsid w:val="00161FF9"/>
    <w:rsid w:val="00163200"/>
    <w:rsid w:val="0016341C"/>
    <w:rsid w:val="00163D15"/>
    <w:rsid w:val="00163DC3"/>
    <w:rsid w:val="00163E0A"/>
    <w:rsid w:val="0016423D"/>
    <w:rsid w:val="00166621"/>
    <w:rsid w:val="001668D8"/>
    <w:rsid w:val="001677EB"/>
    <w:rsid w:val="00167AAB"/>
    <w:rsid w:val="00167F18"/>
    <w:rsid w:val="001721CF"/>
    <w:rsid w:val="001730DC"/>
    <w:rsid w:val="00174DC7"/>
    <w:rsid w:val="00176AC1"/>
    <w:rsid w:val="00180685"/>
    <w:rsid w:val="00180FAA"/>
    <w:rsid w:val="00181D0C"/>
    <w:rsid w:val="00181E7F"/>
    <w:rsid w:val="00183419"/>
    <w:rsid w:val="00183484"/>
    <w:rsid w:val="00186BE7"/>
    <w:rsid w:val="00186CFB"/>
    <w:rsid w:val="0018790A"/>
    <w:rsid w:val="00187AA8"/>
    <w:rsid w:val="00192AAF"/>
    <w:rsid w:val="0019442B"/>
    <w:rsid w:val="00194F1E"/>
    <w:rsid w:val="001954D4"/>
    <w:rsid w:val="00195CAF"/>
    <w:rsid w:val="00195E5E"/>
    <w:rsid w:val="00196DCB"/>
    <w:rsid w:val="00197151"/>
    <w:rsid w:val="001977A5"/>
    <w:rsid w:val="001A0B03"/>
    <w:rsid w:val="001A16BA"/>
    <w:rsid w:val="001A2C28"/>
    <w:rsid w:val="001A34E6"/>
    <w:rsid w:val="001A353C"/>
    <w:rsid w:val="001A3CD1"/>
    <w:rsid w:val="001A3CD7"/>
    <w:rsid w:val="001A528F"/>
    <w:rsid w:val="001A56D7"/>
    <w:rsid w:val="001A7190"/>
    <w:rsid w:val="001B0C7E"/>
    <w:rsid w:val="001B1E9F"/>
    <w:rsid w:val="001B337F"/>
    <w:rsid w:val="001B34CD"/>
    <w:rsid w:val="001B5086"/>
    <w:rsid w:val="001B57DC"/>
    <w:rsid w:val="001B629E"/>
    <w:rsid w:val="001B6911"/>
    <w:rsid w:val="001B75A0"/>
    <w:rsid w:val="001B78D6"/>
    <w:rsid w:val="001B7C62"/>
    <w:rsid w:val="001C06C7"/>
    <w:rsid w:val="001C1133"/>
    <w:rsid w:val="001C13FB"/>
    <w:rsid w:val="001C271F"/>
    <w:rsid w:val="001C3155"/>
    <w:rsid w:val="001C501F"/>
    <w:rsid w:val="001C7699"/>
    <w:rsid w:val="001D145A"/>
    <w:rsid w:val="001D175E"/>
    <w:rsid w:val="001D2B80"/>
    <w:rsid w:val="001D52FC"/>
    <w:rsid w:val="001D593D"/>
    <w:rsid w:val="001D6150"/>
    <w:rsid w:val="001E0201"/>
    <w:rsid w:val="001E04F1"/>
    <w:rsid w:val="001E0834"/>
    <w:rsid w:val="001E0C38"/>
    <w:rsid w:val="001E0EEC"/>
    <w:rsid w:val="001E19E3"/>
    <w:rsid w:val="001E3101"/>
    <w:rsid w:val="001E670D"/>
    <w:rsid w:val="001F116E"/>
    <w:rsid w:val="001F1A42"/>
    <w:rsid w:val="001F1F82"/>
    <w:rsid w:val="001F2A1C"/>
    <w:rsid w:val="001F2F84"/>
    <w:rsid w:val="001F3572"/>
    <w:rsid w:val="001F3D14"/>
    <w:rsid w:val="001F4796"/>
    <w:rsid w:val="001F6307"/>
    <w:rsid w:val="001F641A"/>
    <w:rsid w:val="001F6593"/>
    <w:rsid w:val="00201321"/>
    <w:rsid w:val="0020141D"/>
    <w:rsid w:val="002031DC"/>
    <w:rsid w:val="00203908"/>
    <w:rsid w:val="00203A06"/>
    <w:rsid w:val="00203E75"/>
    <w:rsid w:val="002117B4"/>
    <w:rsid w:val="002133FC"/>
    <w:rsid w:val="00213759"/>
    <w:rsid w:val="00214742"/>
    <w:rsid w:val="00214BED"/>
    <w:rsid w:val="00214EA8"/>
    <w:rsid w:val="00214FA4"/>
    <w:rsid w:val="00217698"/>
    <w:rsid w:val="00220226"/>
    <w:rsid w:val="002204FE"/>
    <w:rsid w:val="0022110B"/>
    <w:rsid w:val="0022443E"/>
    <w:rsid w:val="0022504B"/>
    <w:rsid w:val="002260DC"/>
    <w:rsid w:val="00226F4E"/>
    <w:rsid w:val="00230309"/>
    <w:rsid w:val="002332DA"/>
    <w:rsid w:val="00233DE5"/>
    <w:rsid w:val="00234026"/>
    <w:rsid w:val="00234310"/>
    <w:rsid w:val="00234E9B"/>
    <w:rsid w:val="002368CB"/>
    <w:rsid w:val="0024082A"/>
    <w:rsid w:val="00241572"/>
    <w:rsid w:val="00242BE3"/>
    <w:rsid w:val="00242FFC"/>
    <w:rsid w:val="002433BB"/>
    <w:rsid w:val="0024432E"/>
    <w:rsid w:val="00244973"/>
    <w:rsid w:val="00247B3B"/>
    <w:rsid w:val="00247EC3"/>
    <w:rsid w:val="0025101C"/>
    <w:rsid w:val="0025138B"/>
    <w:rsid w:val="002526D6"/>
    <w:rsid w:val="00252DF8"/>
    <w:rsid w:val="00253FDD"/>
    <w:rsid w:val="00256706"/>
    <w:rsid w:val="00256855"/>
    <w:rsid w:val="00257D50"/>
    <w:rsid w:val="00261070"/>
    <w:rsid w:val="002611E8"/>
    <w:rsid w:val="00262A65"/>
    <w:rsid w:val="00263698"/>
    <w:rsid w:val="00264188"/>
    <w:rsid w:val="0026425D"/>
    <w:rsid w:val="00264AC3"/>
    <w:rsid w:val="002654D1"/>
    <w:rsid w:val="00266814"/>
    <w:rsid w:val="00270DD8"/>
    <w:rsid w:val="00272CA3"/>
    <w:rsid w:val="0027374A"/>
    <w:rsid w:val="002763A7"/>
    <w:rsid w:val="00281618"/>
    <w:rsid w:val="00284256"/>
    <w:rsid w:val="0028472F"/>
    <w:rsid w:val="002864B0"/>
    <w:rsid w:val="002872BA"/>
    <w:rsid w:val="00290865"/>
    <w:rsid w:val="0029091E"/>
    <w:rsid w:val="0029141D"/>
    <w:rsid w:val="002927B3"/>
    <w:rsid w:val="002931FB"/>
    <w:rsid w:val="0029374B"/>
    <w:rsid w:val="00295409"/>
    <w:rsid w:val="00296DB4"/>
    <w:rsid w:val="002A0C60"/>
    <w:rsid w:val="002A1F78"/>
    <w:rsid w:val="002A31E8"/>
    <w:rsid w:val="002A3EA3"/>
    <w:rsid w:val="002A551E"/>
    <w:rsid w:val="002A73D3"/>
    <w:rsid w:val="002B0FBF"/>
    <w:rsid w:val="002B103A"/>
    <w:rsid w:val="002B184C"/>
    <w:rsid w:val="002B1B90"/>
    <w:rsid w:val="002B3B59"/>
    <w:rsid w:val="002B4480"/>
    <w:rsid w:val="002B48CE"/>
    <w:rsid w:val="002B4919"/>
    <w:rsid w:val="002B5443"/>
    <w:rsid w:val="002B544C"/>
    <w:rsid w:val="002B57C9"/>
    <w:rsid w:val="002B6361"/>
    <w:rsid w:val="002B6773"/>
    <w:rsid w:val="002B6B4A"/>
    <w:rsid w:val="002B7241"/>
    <w:rsid w:val="002B7596"/>
    <w:rsid w:val="002C0E47"/>
    <w:rsid w:val="002C1205"/>
    <w:rsid w:val="002C164F"/>
    <w:rsid w:val="002C177F"/>
    <w:rsid w:val="002C24D0"/>
    <w:rsid w:val="002C2850"/>
    <w:rsid w:val="002C2AB8"/>
    <w:rsid w:val="002C3CF6"/>
    <w:rsid w:val="002C4451"/>
    <w:rsid w:val="002C6AE3"/>
    <w:rsid w:val="002D0C91"/>
    <w:rsid w:val="002D12DC"/>
    <w:rsid w:val="002D13D2"/>
    <w:rsid w:val="002D31C9"/>
    <w:rsid w:val="002D56FE"/>
    <w:rsid w:val="002D61C8"/>
    <w:rsid w:val="002E1332"/>
    <w:rsid w:val="002E1931"/>
    <w:rsid w:val="002E2CC4"/>
    <w:rsid w:val="002E48D4"/>
    <w:rsid w:val="002E4EEF"/>
    <w:rsid w:val="002E5EBF"/>
    <w:rsid w:val="002E7A11"/>
    <w:rsid w:val="002E7BAD"/>
    <w:rsid w:val="002F0255"/>
    <w:rsid w:val="002F038B"/>
    <w:rsid w:val="002F0F85"/>
    <w:rsid w:val="002F167C"/>
    <w:rsid w:val="002F2ACD"/>
    <w:rsid w:val="002F4B6A"/>
    <w:rsid w:val="002F52A1"/>
    <w:rsid w:val="002F5C92"/>
    <w:rsid w:val="002F6B7C"/>
    <w:rsid w:val="003025E0"/>
    <w:rsid w:val="00303276"/>
    <w:rsid w:val="003039DC"/>
    <w:rsid w:val="00303DBF"/>
    <w:rsid w:val="003041AB"/>
    <w:rsid w:val="003058A4"/>
    <w:rsid w:val="003104DC"/>
    <w:rsid w:val="00311FCC"/>
    <w:rsid w:val="00312107"/>
    <w:rsid w:val="00312BB8"/>
    <w:rsid w:val="003141D3"/>
    <w:rsid w:val="00315011"/>
    <w:rsid w:val="00317236"/>
    <w:rsid w:val="00320BAC"/>
    <w:rsid w:val="0032127C"/>
    <w:rsid w:val="00322ED8"/>
    <w:rsid w:val="0032313C"/>
    <w:rsid w:val="00323262"/>
    <w:rsid w:val="00324221"/>
    <w:rsid w:val="00325602"/>
    <w:rsid w:val="0032560F"/>
    <w:rsid w:val="0032696A"/>
    <w:rsid w:val="0032699A"/>
    <w:rsid w:val="00327142"/>
    <w:rsid w:val="00330142"/>
    <w:rsid w:val="00330668"/>
    <w:rsid w:val="00330AFE"/>
    <w:rsid w:val="003327AF"/>
    <w:rsid w:val="00332F0B"/>
    <w:rsid w:val="0033319D"/>
    <w:rsid w:val="003338F1"/>
    <w:rsid w:val="0033533B"/>
    <w:rsid w:val="00335DEB"/>
    <w:rsid w:val="00336114"/>
    <w:rsid w:val="003375B6"/>
    <w:rsid w:val="00337642"/>
    <w:rsid w:val="00340809"/>
    <w:rsid w:val="003418D9"/>
    <w:rsid w:val="003424B1"/>
    <w:rsid w:val="003433C4"/>
    <w:rsid w:val="0034417F"/>
    <w:rsid w:val="00345283"/>
    <w:rsid w:val="0034582E"/>
    <w:rsid w:val="00346563"/>
    <w:rsid w:val="00346626"/>
    <w:rsid w:val="00346B7F"/>
    <w:rsid w:val="003472E7"/>
    <w:rsid w:val="00351E17"/>
    <w:rsid w:val="00353D46"/>
    <w:rsid w:val="003546E7"/>
    <w:rsid w:val="003559AB"/>
    <w:rsid w:val="00355BA1"/>
    <w:rsid w:val="00355BF1"/>
    <w:rsid w:val="0035696C"/>
    <w:rsid w:val="003575BD"/>
    <w:rsid w:val="00363CDF"/>
    <w:rsid w:val="0036478D"/>
    <w:rsid w:val="00365771"/>
    <w:rsid w:val="00366232"/>
    <w:rsid w:val="003664BF"/>
    <w:rsid w:val="003676FF"/>
    <w:rsid w:val="0037032D"/>
    <w:rsid w:val="00371305"/>
    <w:rsid w:val="00372D88"/>
    <w:rsid w:val="003736C5"/>
    <w:rsid w:val="00374576"/>
    <w:rsid w:val="003748E5"/>
    <w:rsid w:val="00374E6F"/>
    <w:rsid w:val="00375F44"/>
    <w:rsid w:val="0037633B"/>
    <w:rsid w:val="00376D76"/>
    <w:rsid w:val="00377415"/>
    <w:rsid w:val="00382A1C"/>
    <w:rsid w:val="003838E7"/>
    <w:rsid w:val="00383942"/>
    <w:rsid w:val="00383C92"/>
    <w:rsid w:val="00383D9D"/>
    <w:rsid w:val="00386C6E"/>
    <w:rsid w:val="0039012F"/>
    <w:rsid w:val="00390F4D"/>
    <w:rsid w:val="00391837"/>
    <w:rsid w:val="00391B5E"/>
    <w:rsid w:val="003951D4"/>
    <w:rsid w:val="0039522D"/>
    <w:rsid w:val="00395EC2"/>
    <w:rsid w:val="003960C3"/>
    <w:rsid w:val="00397130"/>
    <w:rsid w:val="003974B0"/>
    <w:rsid w:val="003A040F"/>
    <w:rsid w:val="003A1B54"/>
    <w:rsid w:val="003A1E38"/>
    <w:rsid w:val="003A235C"/>
    <w:rsid w:val="003A23A2"/>
    <w:rsid w:val="003A2CBF"/>
    <w:rsid w:val="003A3647"/>
    <w:rsid w:val="003A3715"/>
    <w:rsid w:val="003A6404"/>
    <w:rsid w:val="003A647C"/>
    <w:rsid w:val="003A6DA6"/>
    <w:rsid w:val="003B072F"/>
    <w:rsid w:val="003B0C60"/>
    <w:rsid w:val="003B0ECE"/>
    <w:rsid w:val="003B15CC"/>
    <w:rsid w:val="003B1FDD"/>
    <w:rsid w:val="003B2325"/>
    <w:rsid w:val="003B3A5A"/>
    <w:rsid w:val="003B5934"/>
    <w:rsid w:val="003B60EF"/>
    <w:rsid w:val="003C03FB"/>
    <w:rsid w:val="003C144A"/>
    <w:rsid w:val="003C309F"/>
    <w:rsid w:val="003C45DB"/>
    <w:rsid w:val="003C50EE"/>
    <w:rsid w:val="003C556C"/>
    <w:rsid w:val="003D43D4"/>
    <w:rsid w:val="003D4994"/>
    <w:rsid w:val="003D5D7E"/>
    <w:rsid w:val="003E10FD"/>
    <w:rsid w:val="003E1B6F"/>
    <w:rsid w:val="003E36B9"/>
    <w:rsid w:val="003E3EF0"/>
    <w:rsid w:val="003E7306"/>
    <w:rsid w:val="003F0DBC"/>
    <w:rsid w:val="003F111A"/>
    <w:rsid w:val="003F1897"/>
    <w:rsid w:val="003F2AFC"/>
    <w:rsid w:val="003F2B2A"/>
    <w:rsid w:val="003F30D8"/>
    <w:rsid w:val="003F33FF"/>
    <w:rsid w:val="003F429A"/>
    <w:rsid w:val="003F5B2A"/>
    <w:rsid w:val="003F605B"/>
    <w:rsid w:val="003F6501"/>
    <w:rsid w:val="003F7873"/>
    <w:rsid w:val="003F7EDC"/>
    <w:rsid w:val="00402335"/>
    <w:rsid w:val="00402393"/>
    <w:rsid w:val="00403E7D"/>
    <w:rsid w:val="00405F6D"/>
    <w:rsid w:val="004064DB"/>
    <w:rsid w:val="0040679F"/>
    <w:rsid w:val="00406BDB"/>
    <w:rsid w:val="004100AD"/>
    <w:rsid w:val="00411371"/>
    <w:rsid w:val="004117B0"/>
    <w:rsid w:val="0041293E"/>
    <w:rsid w:val="004138AE"/>
    <w:rsid w:val="00413E98"/>
    <w:rsid w:val="00415A36"/>
    <w:rsid w:val="00417F24"/>
    <w:rsid w:val="00421176"/>
    <w:rsid w:val="0042118A"/>
    <w:rsid w:val="00421636"/>
    <w:rsid w:val="0042204A"/>
    <w:rsid w:val="0042276D"/>
    <w:rsid w:val="0042636D"/>
    <w:rsid w:val="00426452"/>
    <w:rsid w:val="004264D2"/>
    <w:rsid w:val="004265BE"/>
    <w:rsid w:val="0042681A"/>
    <w:rsid w:val="004274CB"/>
    <w:rsid w:val="004278CC"/>
    <w:rsid w:val="00430FBE"/>
    <w:rsid w:val="00433F7D"/>
    <w:rsid w:val="004349E5"/>
    <w:rsid w:val="00434B51"/>
    <w:rsid w:val="00435923"/>
    <w:rsid w:val="00437B10"/>
    <w:rsid w:val="0044010B"/>
    <w:rsid w:val="00440767"/>
    <w:rsid w:val="0044159A"/>
    <w:rsid w:val="00442D0A"/>
    <w:rsid w:val="004431D8"/>
    <w:rsid w:val="0044559C"/>
    <w:rsid w:val="004459AF"/>
    <w:rsid w:val="004460D4"/>
    <w:rsid w:val="0045085B"/>
    <w:rsid w:val="00451025"/>
    <w:rsid w:val="0045137A"/>
    <w:rsid w:val="0045309C"/>
    <w:rsid w:val="004530B1"/>
    <w:rsid w:val="0045362E"/>
    <w:rsid w:val="00453D9F"/>
    <w:rsid w:val="004545E8"/>
    <w:rsid w:val="004563C8"/>
    <w:rsid w:val="0046051E"/>
    <w:rsid w:val="00460832"/>
    <w:rsid w:val="0046144E"/>
    <w:rsid w:val="00461B63"/>
    <w:rsid w:val="00462032"/>
    <w:rsid w:val="00462196"/>
    <w:rsid w:val="004631D1"/>
    <w:rsid w:val="00463957"/>
    <w:rsid w:val="00463D0A"/>
    <w:rsid w:val="00463F23"/>
    <w:rsid w:val="00465B2D"/>
    <w:rsid w:val="00466969"/>
    <w:rsid w:val="004717E9"/>
    <w:rsid w:val="00471B5A"/>
    <w:rsid w:val="00471BBE"/>
    <w:rsid w:val="00472BC0"/>
    <w:rsid w:val="00473627"/>
    <w:rsid w:val="004739D7"/>
    <w:rsid w:val="00473D00"/>
    <w:rsid w:val="0047798F"/>
    <w:rsid w:val="0048157A"/>
    <w:rsid w:val="00482AB4"/>
    <w:rsid w:val="00482DFC"/>
    <w:rsid w:val="00486327"/>
    <w:rsid w:val="00486369"/>
    <w:rsid w:val="00486388"/>
    <w:rsid w:val="00486539"/>
    <w:rsid w:val="004874D5"/>
    <w:rsid w:val="00487814"/>
    <w:rsid w:val="004918D6"/>
    <w:rsid w:val="00491FBF"/>
    <w:rsid w:val="00493888"/>
    <w:rsid w:val="00493FAC"/>
    <w:rsid w:val="00496122"/>
    <w:rsid w:val="00497A66"/>
    <w:rsid w:val="00497EB4"/>
    <w:rsid w:val="004A2B93"/>
    <w:rsid w:val="004A37F7"/>
    <w:rsid w:val="004A40E3"/>
    <w:rsid w:val="004A4758"/>
    <w:rsid w:val="004A544F"/>
    <w:rsid w:val="004A59F5"/>
    <w:rsid w:val="004A6DFE"/>
    <w:rsid w:val="004A74BE"/>
    <w:rsid w:val="004B04D3"/>
    <w:rsid w:val="004B43BF"/>
    <w:rsid w:val="004B491F"/>
    <w:rsid w:val="004B4CC2"/>
    <w:rsid w:val="004B59AB"/>
    <w:rsid w:val="004B72EA"/>
    <w:rsid w:val="004B7379"/>
    <w:rsid w:val="004B77BC"/>
    <w:rsid w:val="004B7D8C"/>
    <w:rsid w:val="004C0727"/>
    <w:rsid w:val="004C140A"/>
    <w:rsid w:val="004C1ED1"/>
    <w:rsid w:val="004C20A1"/>
    <w:rsid w:val="004C28D7"/>
    <w:rsid w:val="004C3C74"/>
    <w:rsid w:val="004C41A3"/>
    <w:rsid w:val="004C4D96"/>
    <w:rsid w:val="004C5891"/>
    <w:rsid w:val="004C6168"/>
    <w:rsid w:val="004C7603"/>
    <w:rsid w:val="004C7D1C"/>
    <w:rsid w:val="004D0440"/>
    <w:rsid w:val="004D07ED"/>
    <w:rsid w:val="004D1C3E"/>
    <w:rsid w:val="004D2962"/>
    <w:rsid w:val="004D31F5"/>
    <w:rsid w:val="004D397D"/>
    <w:rsid w:val="004D4135"/>
    <w:rsid w:val="004D495A"/>
    <w:rsid w:val="004D7135"/>
    <w:rsid w:val="004D7206"/>
    <w:rsid w:val="004D7C21"/>
    <w:rsid w:val="004E001C"/>
    <w:rsid w:val="004E10CC"/>
    <w:rsid w:val="004E1E2A"/>
    <w:rsid w:val="004E3EFE"/>
    <w:rsid w:val="004E5BED"/>
    <w:rsid w:val="004E60A9"/>
    <w:rsid w:val="004E7A46"/>
    <w:rsid w:val="004F0E26"/>
    <w:rsid w:val="004F0EA6"/>
    <w:rsid w:val="004F12B0"/>
    <w:rsid w:val="004F179A"/>
    <w:rsid w:val="004F1866"/>
    <w:rsid w:val="004F5500"/>
    <w:rsid w:val="004F5550"/>
    <w:rsid w:val="004F7414"/>
    <w:rsid w:val="00500A65"/>
    <w:rsid w:val="00501963"/>
    <w:rsid w:val="00502C23"/>
    <w:rsid w:val="00505CF8"/>
    <w:rsid w:val="00510D5E"/>
    <w:rsid w:val="005111CD"/>
    <w:rsid w:val="00511A7D"/>
    <w:rsid w:val="00512763"/>
    <w:rsid w:val="0051348C"/>
    <w:rsid w:val="00520C1B"/>
    <w:rsid w:val="0052277E"/>
    <w:rsid w:val="00522A39"/>
    <w:rsid w:val="00523014"/>
    <w:rsid w:val="00523691"/>
    <w:rsid w:val="005237D0"/>
    <w:rsid w:val="00524701"/>
    <w:rsid w:val="00525802"/>
    <w:rsid w:val="0052621F"/>
    <w:rsid w:val="0052681D"/>
    <w:rsid w:val="00526CE6"/>
    <w:rsid w:val="00526EA7"/>
    <w:rsid w:val="00527146"/>
    <w:rsid w:val="0053007F"/>
    <w:rsid w:val="00530679"/>
    <w:rsid w:val="00530C5A"/>
    <w:rsid w:val="005314D9"/>
    <w:rsid w:val="0053157E"/>
    <w:rsid w:val="00532DF8"/>
    <w:rsid w:val="00533D4B"/>
    <w:rsid w:val="005340BA"/>
    <w:rsid w:val="00536279"/>
    <w:rsid w:val="005369AC"/>
    <w:rsid w:val="00536EE2"/>
    <w:rsid w:val="00541F67"/>
    <w:rsid w:val="005432CC"/>
    <w:rsid w:val="00543C5C"/>
    <w:rsid w:val="00544A89"/>
    <w:rsid w:val="00544E58"/>
    <w:rsid w:val="00545844"/>
    <w:rsid w:val="0054690F"/>
    <w:rsid w:val="00546EE3"/>
    <w:rsid w:val="00547211"/>
    <w:rsid w:val="0055008B"/>
    <w:rsid w:val="00550FBD"/>
    <w:rsid w:val="00552B4D"/>
    <w:rsid w:val="0055330F"/>
    <w:rsid w:val="005536B5"/>
    <w:rsid w:val="0055403E"/>
    <w:rsid w:val="00555256"/>
    <w:rsid w:val="00555BF6"/>
    <w:rsid w:val="00555E11"/>
    <w:rsid w:val="00556379"/>
    <w:rsid w:val="0055766E"/>
    <w:rsid w:val="00557931"/>
    <w:rsid w:val="00557A15"/>
    <w:rsid w:val="00560D7E"/>
    <w:rsid w:val="00566F2C"/>
    <w:rsid w:val="00570C22"/>
    <w:rsid w:val="005716D9"/>
    <w:rsid w:val="00572FFA"/>
    <w:rsid w:val="005745B8"/>
    <w:rsid w:val="00574DB3"/>
    <w:rsid w:val="005770B2"/>
    <w:rsid w:val="0058068F"/>
    <w:rsid w:val="00582B9D"/>
    <w:rsid w:val="00583B87"/>
    <w:rsid w:val="00584D72"/>
    <w:rsid w:val="00584DF0"/>
    <w:rsid w:val="00585650"/>
    <w:rsid w:val="00585A8E"/>
    <w:rsid w:val="005864F7"/>
    <w:rsid w:val="00586ABD"/>
    <w:rsid w:val="00590DCE"/>
    <w:rsid w:val="00590EB4"/>
    <w:rsid w:val="00592CD6"/>
    <w:rsid w:val="00592F09"/>
    <w:rsid w:val="00593429"/>
    <w:rsid w:val="00593C95"/>
    <w:rsid w:val="00595525"/>
    <w:rsid w:val="00596767"/>
    <w:rsid w:val="005967E3"/>
    <w:rsid w:val="0059766E"/>
    <w:rsid w:val="005A0DF2"/>
    <w:rsid w:val="005A117C"/>
    <w:rsid w:val="005A14B7"/>
    <w:rsid w:val="005A254E"/>
    <w:rsid w:val="005A29E3"/>
    <w:rsid w:val="005A2EA6"/>
    <w:rsid w:val="005A4935"/>
    <w:rsid w:val="005A658F"/>
    <w:rsid w:val="005A729C"/>
    <w:rsid w:val="005B2F4D"/>
    <w:rsid w:val="005B4170"/>
    <w:rsid w:val="005B640A"/>
    <w:rsid w:val="005B64C2"/>
    <w:rsid w:val="005C51E0"/>
    <w:rsid w:val="005C5562"/>
    <w:rsid w:val="005C6A0B"/>
    <w:rsid w:val="005C7AB6"/>
    <w:rsid w:val="005C7C69"/>
    <w:rsid w:val="005D0111"/>
    <w:rsid w:val="005D0672"/>
    <w:rsid w:val="005D2308"/>
    <w:rsid w:val="005D2542"/>
    <w:rsid w:val="005D2A45"/>
    <w:rsid w:val="005D3941"/>
    <w:rsid w:val="005D40A3"/>
    <w:rsid w:val="005D52A3"/>
    <w:rsid w:val="005D7562"/>
    <w:rsid w:val="005E0CF4"/>
    <w:rsid w:val="005E0E84"/>
    <w:rsid w:val="005E1DF8"/>
    <w:rsid w:val="005E1F68"/>
    <w:rsid w:val="005E67E9"/>
    <w:rsid w:val="005E72EF"/>
    <w:rsid w:val="005F0CD5"/>
    <w:rsid w:val="005F2C4B"/>
    <w:rsid w:val="005F6628"/>
    <w:rsid w:val="005F697B"/>
    <w:rsid w:val="005F76CA"/>
    <w:rsid w:val="006008DD"/>
    <w:rsid w:val="00600D9B"/>
    <w:rsid w:val="00601C6B"/>
    <w:rsid w:val="00602B05"/>
    <w:rsid w:val="00603748"/>
    <w:rsid w:val="006043A1"/>
    <w:rsid w:val="00605824"/>
    <w:rsid w:val="00605D42"/>
    <w:rsid w:val="00605E4F"/>
    <w:rsid w:val="006076FC"/>
    <w:rsid w:val="0060785F"/>
    <w:rsid w:val="00610298"/>
    <w:rsid w:val="00610EA2"/>
    <w:rsid w:val="006127BC"/>
    <w:rsid w:val="00612EEC"/>
    <w:rsid w:val="00614555"/>
    <w:rsid w:val="006157C8"/>
    <w:rsid w:val="00615B5D"/>
    <w:rsid w:val="00615F57"/>
    <w:rsid w:val="00617BDB"/>
    <w:rsid w:val="00620F98"/>
    <w:rsid w:val="0062355F"/>
    <w:rsid w:val="006255CA"/>
    <w:rsid w:val="006259B8"/>
    <w:rsid w:val="006264EB"/>
    <w:rsid w:val="00627252"/>
    <w:rsid w:val="00627A03"/>
    <w:rsid w:val="00627EB6"/>
    <w:rsid w:val="00627FE6"/>
    <w:rsid w:val="00631629"/>
    <w:rsid w:val="00631830"/>
    <w:rsid w:val="00632623"/>
    <w:rsid w:val="00632646"/>
    <w:rsid w:val="00633C35"/>
    <w:rsid w:val="0063439F"/>
    <w:rsid w:val="006349A7"/>
    <w:rsid w:val="006355B8"/>
    <w:rsid w:val="00636004"/>
    <w:rsid w:val="006371BF"/>
    <w:rsid w:val="00637A80"/>
    <w:rsid w:val="0064004D"/>
    <w:rsid w:val="00641CB6"/>
    <w:rsid w:val="006421CA"/>
    <w:rsid w:val="00642730"/>
    <w:rsid w:val="00643E2D"/>
    <w:rsid w:val="0064420E"/>
    <w:rsid w:val="00646DDC"/>
    <w:rsid w:val="0065120A"/>
    <w:rsid w:val="00651804"/>
    <w:rsid w:val="00651AD4"/>
    <w:rsid w:val="006529F1"/>
    <w:rsid w:val="00653467"/>
    <w:rsid w:val="006564EC"/>
    <w:rsid w:val="006604C8"/>
    <w:rsid w:val="00660B01"/>
    <w:rsid w:val="00661AC4"/>
    <w:rsid w:val="00664A46"/>
    <w:rsid w:val="00664BEA"/>
    <w:rsid w:val="006655A0"/>
    <w:rsid w:val="00665AD1"/>
    <w:rsid w:val="00665CBD"/>
    <w:rsid w:val="00666105"/>
    <w:rsid w:val="006668CF"/>
    <w:rsid w:val="00666E02"/>
    <w:rsid w:val="00667211"/>
    <w:rsid w:val="00667E34"/>
    <w:rsid w:val="00670A18"/>
    <w:rsid w:val="006727CB"/>
    <w:rsid w:val="0067374D"/>
    <w:rsid w:val="00673913"/>
    <w:rsid w:val="00673A81"/>
    <w:rsid w:val="00676345"/>
    <w:rsid w:val="00676A40"/>
    <w:rsid w:val="006770FE"/>
    <w:rsid w:val="0067737D"/>
    <w:rsid w:val="006776E1"/>
    <w:rsid w:val="00677B77"/>
    <w:rsid w:val="006801A7"/>
    <w:rsid w:val="006801B4"/>
    <w:rsid w:val="00680646"/>
    <w:rsid w:val="006849CF"/>
    <w:rsid w:val="00684C6F"/>
    <w:rsid w:val="006858F8"/>
    <w:rsid w:val="006871D4"/>
    <w:rsid w:val="006877DB"/>
    <w:rsid w:val="00687AFC"/>
    <w:rsid w:val="0069003A"/>
    <w:rsid w:val="006905AA"/>
    <w:rsid w:val="00690851"/>
    <w:rsid w:val="0069178F"/>
    <w:rsid w:val="00691996"/>
    <w:rsid w:val="00692334"/>
    <w:rsid w:val="006929D6"/>
    <w:rsid w:val="00692B67"/>
    <w:rsid w:val="00696948"/>
    <w:rsid w:val="00696BFB"/>
    <w:rsid w:val="00697E10"/>
    <w:rsid w:val="006A1471"/>
    <w:rsid w:val="006A15B4"/>
    <w:rsid w:val="006A22E5"/>
    <w:rsid w:val="006A3443"/>
    <w:rsid w:val="006A3DCC"/>
    <w:rsid w:val="006A409E"/>
    <w:rsid w:val="006A4210"/>
    <w:rsid w:val="006A4B4C"/>
    <w:rsid w:val="006A5257"/>
    <w:rsid w:val="006A5768"/>
    <w:rsid w:val="006A5E67"/>
    <w:rsid w:val="006A617F"/>
    <w:rsid w:val="006A778A"/>
    <w:rsid w:val="006A786C"/>
    <w:rsid w:val="006A7B73"/>
    <w:rsid w:val="006A7D58"/>
    <w:rsid w:val="006B0FAE"/>
    <w:rsid w:val="006B1232"/>
    <w:rsid w:val="006B13E3"/>
    <w:rsid w:val="006B1614"/>
    <w:rsid w:val="006B204A"/>
    <w:rsid w:val="006B3EB2"/>
    <w:rsid w:val="006B46FF"/>
    <w:rsid w:val="006B52FF"/>
    <w:rsid w:val="006B6166"/>
    <w:rsid w:val="006B6291"/>
    <w:rsid w:val="006B6497"/>
    <w:rsid w:val="006B6774"/>
    <w:rsid w:val="006B6FDC"/>
    <w:rsid w:val="006B718B"/>
    <w:rsid w:val="006B7575"/>
    <w:rsid w:val="006C321E"/>
    <w:rsid w:val="006C4A02"/>
    <w:rsid w:val="006C5E73"/>
    <w:rsid w:val="006C6CF2"/>
    <w:rsid w:val="006C7072"/>
    <w:rsid w:val="006C70A9"/>
    <w:rsid w:val="006C77CA"/>
    <w:rsid w:val="006D16B9"/>
    <w:rsid w:val="006D1D59"/>
    <w:rsid w:val="006D5A11"/>
    <w:rsid w:val="006D61AA"/>
    <w:rsid w:val="006D68C3"/>
    <w:rsid w:val="006D691D"/>
    <w:rsid w:val="006D6A0B"/>
    <w:rsid w:val="006D73C3"/>
    <w:rsid w:val="006E1751"/>
    <w:rsid w:val="006E253F"/>
    <w:rsid w:val="006E5BE2"/>
    <w:rsid w:val="006E6185"/>
    <w:rsid w:val="006E6A56"/>
    <w:rsid w:val="006E7B99"/>
    <w:rsid w:val="006F02A9"/>
    <w:rsid w:val="006F0477"/>
    <w:rsid w:val="006F331A"/>
    <w:rsid w:val="006F6668"/>
    <w:rsid w:val="006F7EB1"/>
    <w:rsid w:val="00701B59"/>
    <w:rsid w:val="00702842"/>
    <w:rsid w:val="00703913"/>
    <w:rsid w:val="0070530B"/>
    <w:rsid w:val="007058CE"/>
    <w:rsid w:val="00705CF6"/>
    <w:rsid w:val="007106BE"/>
    <w:rsid w:val="00711996"/>
    <w:rsid w:val="0071214A"/>
    <w:rsid w:val="00713C05"/>
    <w:rsid w:val="00715059"/>
    <w:rsid w:val="00717B1E"/>
    <w:rsid w:val="00717D32"/>
    <w:rsid w:val="00717EBC"/>
    <w:rsid w:val="007201AB"/>
    <w:rsid w:val="00720E2C"/>
    <w:rsid w:val="00722CCA"/>
    <w:rsid w:val="00722DB9"/>
    <w:rsid w:val="00725600"/>
    <w:rsid w:val="00725603"/>
    <w:rsid w:val="00726EF9"/>
    <w:rsid w:val="00727663"/>
    <w:rsid w:val="0072782C"/>
    <w:rsid w:val="00730193"/>
    <w:rsid w:val="00730920"/>
    <w:rsid w:val="007320BC"/>
    <w:rsid w:val="00734A1B"/>
    <w:rsid w:val="007365B9"/>
    <w:rsid w:val="00736E02"/>
    <w:rsid w:val="0073778A"/>
    <w:rsid w:val="00737902"/>
    <w:rsid w:val="00741A62"/>
    <w:rsid w:val="00742097"/>
    <w:rsid w:val="00743DDD"/>
    <w:rsid w:val="00744EE4"/>
    <w:rsid w:val="00744F66"/>
    <w:rsid w:val="00745CA4"/>
    <w:rsid w:val="0074657B"/>
    <w:rsid w:val="0074763A"/>
    <w:rsid w:val="00747C4F"/>
    <w:rsid w:val="00747D75"/>
    <w:rsid w:val="00750A39"/>
    <w:rsid w:val="00751A25"/>
    <w:rsid w:val="00751D60"/>
    <w:rsid w:val="00752801"/>
    <w:rsid w:val="00753A9D"/>
    <w:rsid w:val="0075537A"/>
    <w:rsid w:val="0075644F"/>
    <w:rsid w:val="0076017C"/>
    <w:rsid w:val="00760302"/>
    <w:rsid w:val="00761D0C"/>
    <w:rsid w:val="0076355E"/>
    <w:rsid w:val="00763829"/>
    <w:rsid w:val="007642BB"/>
    <w:rsid w:val="0076445D"/>
    <w:rsid w:val="00767130"/>
    <w:rsid w:val="007672E5"/>
    <w:rsid w:val="007727D3"/>
    <w:rsid w:val="00774344"/>
    <w:rsid w:val="007768F6"/>
    <w:rsid w:val="007777D8"/>
    <w:rsid w:val="0078248F"/>
    <w:rsid w:val="0078431F"/>
    <w:rsid w:val="007846E9"/>
    <w:rsid w:val="00784EDC"/>
    <w:rsid w:val="00785496"/>
    <w:rsid w:val="00786BFF"/>
    <w:rsid w:val="00790C94"/>
    <w:rsid w:val="00790E34"/>
    <w:rsid w:val="00791E62"/>
    <w:rsid w:val="00793E8D"/>
    <w:rsid w:val="00794756"/>
    <w:rsid w:val="00794E52"/>
    <w:rsid w:val="00797498"/>
    <w:rsid w:val="0079770F"/>
    <w:rsid w:val="007A1715"/>
    <w:rsid w:val="007A49B0"/>
    <w:rsid w:val="007A4CA5"/>
    <w:rsid w:val="007A74DF"/>
    <w:rsid w:val="007A7A51"/>
    <w:rsid w:val="007B1D94"/>
    <w:rsid w:val="007B39AA"/>
    <w:rsid w:val="007B4947"/>
    <w:rsid w:val="007B4E1D"/>
    <w:rsid w:val="007B61D8"/>
    <w:rsid w:val="007C034A"/>
    <w:rsid w:val="007C046B"/>
    <w:rsid w:val="007C1626"/>
    <w:rsid w:val="007C2857"/>
    <w:rsid w:val="007C52CA"/>
    <w:rsid w:val="007C584F"/>
    <w:rsid w:val="007D0E81"/>
    <w:rsid w:val="007D1801"/>
    <w:rsid w:val="007D247E"/>
    <w:rsid w:val="007D3854"/>
    <w:rsid w:val="007D404A"/>
    <w:rsid w:val="007D7291"/>
    <w:rsid w:val="007E1880"/>
    <w:rsid w:val="007E1977"/>
    <w:rsid w:val="007E19CF"/>
    <w:rsid w:val="007E226C"/>
    <w:rsid w:val="007E4BB3"/>
    <w:rsid w:val="007E503F"/>
    <w:rsid w:val="007E57F6"/>
    <w:rsid w:val="007E5866"/>
    <w:rsid w:val="007E719A"/>
    <w:rsid w:val="007F1EBB"/>
    <w:rsid w:val="007F1FE7"/>
    <w:rsid w:val="007F3900"/>
    <w:rsid w:val="007F3FA9"/>
    <w:rsid w:val="007F57A7"/>
    <w:rsid w:val="007F6DF2"/>
    <w:rsid w:val="0080007E"/>
    <w:rsid w:val="00801FF7"/>
    <w:rsid w:val="00802037"/>
    <w:rsid w:val="0080280B"/>
    <w:rsid w:val="008033DD"/>
    <w:rsid w:val="00804005"/>
    <w:rsid w:val="0080625E"/>
    <w:rsid w:val="00807533"/>
    <w:rsid w:val="00807FC9"/>
    <w:rsid w:val="008112F8"/>
    <w:rsid w:val="0081183E"/>
    <w:rsid w:val="00813F36"/>
    <w:rsid w:val="00816163"/>
    <w:rsid w:val="008202EE"/>
    <w:rsid w:val="0082076E"/>
    <w:rsid w:val="00821F09"/>
    <w:rsid w:val="0082254B"/>
    <w:rsid w:val="00825EDF"/>
    <w:rsid w:val="00826CF7"/>
    <w:rsid w:val="00827218"/>
    <w:rsid w:val="008277B5"/>
    <w:rsid w:val="00827E55"/>
    <w:rsid w:val="00830A57"/>
    <w:rsid w:val="00833E13"/>
    <w:rsid w:val="00833F88"/>
    <w:rsid w:val="00834390"/>
    <w:rsid w:val="00835023"/>
    <w:rsid w:val="008352B6"/>
    <w:rsid w:val="008358B8"/>
    <w:rsid w:val="008363CC"/>
    <w:rsid w:val="00837D33"/>
    <w:rsid w:val="008400DC"/>
    <w:rsid w:val="00840568"/>
    <w:rsid w:val="00840710"/>
    <w:rsid w:val="00840A6E"/>
    <w:rsid w:val="00843808"/>
    <w:rsid w:val="00845CE2"/>
    <w:rsid w:val="00846902"/>
    <w:rsid w:val="00847B87"/>
    <w:rsid w:val="00851672"/>
    <w:rsid w:val="00851C75"/>
    <w:rsid w:val="00853F17"/>
    <w:rsid w:val="008541DF"/>
    <w:rsid w:val="008542CB"/>
    <w:rsid w:val="00854412"/>
    <w:rsid w:val="008555B5"/>
    <w:rsid w:val="00855C76"/>
    <w:rsid w:val="00856EAC"/>
    <w:rsid w:val="00857FCB"/>
    <w:rsid w:val="008607A2"/>
    <w:rsid w:val="008608F6"/>
    <w:rsid w:val="00860C5C"/>
    <w:rsid w:val="008655C5"/>
    <w:rsid w:val="008655EB"/>
    <w:rsid w:val="008672BF"/>
    <w:rsid w:val="00871113"/>
    <w:rsid w:val="008721BF"/>
    <w:rsid w:val="00872701"/>
    <w:rsid w:val="008729DE"/>
    <w:rsid w:val="008746F3"/>
    <w:rsid w:val="00875CDA"/>
    <w:rsid w:val="00876440"/>
    <w:rsid w:val="00876C6D"/>
    <w:rsid w:val="008770F1"/>
    <w:rsid w:val="00880A9F"/>
    <w:rsid w:val="008818E6"/>
    <w:rsid w:val="00882299"/>
    <w:rsid w:val="008840F7"/>
    <w:rsid w:val="00884580"/>
    <w:rsid w:val="00890DF2"/>
    <w:rsid w:val="00892BC8"/>
    <w:rsid w:val="00893A8A"/>
    <w:rsid w:val="008950DC"/>
    <w:rsid w:val="0089597D"/>
    <w:rsid w:val="00895B86"/>
    <w:rsid w:val="00897EB2"/>
    <w:rsid w:val="008A1444"/>
    <w:rsid w:val="008A2AD1"/>
    <w:rsid w:val="008A2F7A"/>
    <w:rsid w:val="008A49E6"/>
    <w:rsid w:val="008A5CA0"/>
    <w:rsid w:val="008A5D4D"/>
    <w:rsid w:val="008A75F5"/>
    <w:rsid w:val="008A7BC0"/>
    <w:rsid w:val="008B1D68"/>
    <w:rsid w:val="008B21DA"/>
    <w:rsid w:val="008B28ED"/>
    <w:rsid w:val="008B2A14"/>
    <w:rsid w:val="008B2E28"/>
    <w:rsid w:val="008B398C"/>
    <w:rsid w:val="008B3C90"/>
    <w:rsid w:val="008B4E97"/>
    <w:rsid w:val="008B77A7"/>
    <w:rsid w:val="008B7D9D"/>
    <w:rsid w:val="008C1AA6"/>
    <w:rsid w:val="008C20BA"/>
    <w:rsid w:val="008C2271"/>
    <w:rsid w:val="008C239E"/>
    <w:rsid w:val="008C5F4D"/>
    <w:rsid w:val="008C7F4B"/>
    <w:rsid w:val="008D018E"/>
    <w:rsid w:val="008D0586"/>
    <w:rsid w:val="008D1EA0"/>
    <w:rsid w:val="008D1F10"/>
    <w:rsid w:val="008D2B77"/>
    <w:rsid w:val="008D350F"/>
    <w:rsid w:val="008D4FCC"/>
    <w:rsid w:val="008D516C"/>
    <w:rsid w:val="008D64ED"/>
    <w:rsid w:val="008D6A79"/>
    <w:rsid w:val="008E0574"/>
    <w:rsid w:val="008E0F34"/>
    <w:rsid w:val="008E186A"/>
    <w:rsid w:val="008E189C"/>
    <w:rsid w:val="008E2124"/>
    <w:rsid w:val="008E3843"/>
    <w:rsid w:val="008E4004"/>
    <w:rsid w:val="008E40A7"/>
    <w:rsid w:val="008E4E68"/>
    <w:rsid w:val="008E647A"/>
    <w:rsid w:val="008E6E87"/>
    <w:rsid w:val="008E6EE5"/>
    <w:rsid w:val="008E6FA2"/>
    <w:rsid w:val="008E7178"/>
    <w:rsid w:val="008F0493"/>
    <w:rsid w:val="008F054D"/>
    <w:rsid w:val="008F1825"/>
    <w:rsid w:val="008F20FB"/>
    <w:rsid w:val="008F2611"/>
    <w:rsid w:val="008F4C64"/>
    <w:rsid w:val="008F5635"/>
    <w:rsid w:val="008F6D39"/>
    <w:rsid w:val="008F7E31"/>
    <w:rsid w:val="009014B1"/>
    <w:rsid w:val="009015DC"/>
    <w:rsid w:val="00902AAA"/>
    <w:rsid w:val="0090423F"/>
    <w:rsid w:val="00905504"/>
    <w:rsid w:val="009056AD"/>
    <w:rsid w:val="00906149"/>
    <w:rsid w:val="00910D8E"/>
    <w:rsid w:val="009111E9"/>
    <w:rsid w:val="00912162"/>
    <w:rsid w:val="009153DF"/>
    <w:rsid w:val="0091592E"/>
    <w:rsid w:val="00915A7F"/>
    <w:rsid w:val="00917342"/>
    <w:rsid w:val="0091742C"/>
    <w:rsid w:val="009212C0"/>
    <w:rsid w:val="00924512"/>
    <w:rsid w:val="00924E68"/>
    <w:rsid w:val="00925496"/>
    <w:rsid w:val="00925CCD"/>
    <w:rsid w:val="00927C60"/>
    <w:rsid w:val="009301F8"/>
    <w:rsid w:val="00930392"/>
    <w:rsid w:val="00937ABA"/>
    <w:rsid w:val="00940009"/>
    <w:rsid w:val="00941432"/>
    <w:rsid w:val="0094203C"/>
    <w:rsid w:val="009428DA"/>
    <w:rsid w:val="0094455D"/>
    <w:rsid w:val="00944E4E"/>
    <w:rsid w:val="00951389"/>
    <w:rsid w:val="00951581"/>
    <w:rsid w:val="00951FE9"/>
    <w:rsid w:val="00952E8A"/>
    <w:rsid w:val="00953B6F"/>
    <w:rsid w:val="00954625"/>
    <w:rsid w:val="00954ECF"/>
    <w:rsid w:val="009567F9"/>
    <w:rsid w:val="0096043A"/>
    <w:rsid w:val="0096192C"/>
    <w:rsid w:val="00962752"/>
    <w:rsid w:val="00962B98"/>
    <w:rsid w:val="009630FE"/>
    <w:rsid w:val="009639B5"/>
    <w:rsid w:val="00965580"/>
    <w:rsid w:val="00965C76"/>
    <w:rsid w:val="00970109"/>
    <w:rsid w:val="0097076B"/>
    <w:rsid w:val="0097190E"/>
    <w:rsid w:val="00972254"/>
    <w:rsid w:val="0097253F"/>
    <w:rsid w:val="00974F0C"/>
    <w:rsid w:val="009751D9"/>
    <w:rsid w:val="009757D8"/>
    <w:rsid w:val="009809D7"/>
    <w:rsid w:val="00981190"/>
    <w:rsid w:val="00981E76"/>
    <w:rsid w:val="00982AD6"/>
    <w:rsid w:val="009837B9"/>
    <w:rsid w:val="00984841"/>
    <w:rsid w:val="00985372"/>
    <w:rsid w:val="009856D7"/>
    <w:rsid w:val="00985CA2"/>
    <w:rsid w:val="00987488"/>
    <w:rsid w:val="0099052F"/>
    <w:rsid w:val="0099108F"/>
    <w:rsid w:val="0099293F"/>
    <w:rsid w:val="00992B31"/>
    <w:rsid w:val="00993B08"/>
    <w:rsid w:val="009945EE"/>
    <w:rsid w:val="00994E97"/>
    <w:rsid w:val="009955A4"/>
    <w:rsid w:val="009974BC"/>
    <w:rsid w:val="009A1B73"/>
    <w:rsid w:val="009A21BB"/>
    <w:rsid w:val="009A224F"/>
    <w:rsid w:val="009A3BB3"/>
    <w:rsid w:val="009A54D9"/>
    <w:rsid w:val="009A5F96"/>
    <w:rsid w:val="009A63D8"/>
    <w:rsid w:val="009A6BD8"/>
    <w:rsid w:val="009A71A4"/>
    <w:rsid w:val="009B0EE8"/>
    <w:rsid w:val="009B361C"/>
    <w:rsid w:val="009B5105"/>
    <w:rsid w:val="009B5FD8"/>
    <w:rsid w:val="009B6A56"/>
    <w:rsid w:val="009C0979"/>
    <w:rsid w:val="009C1E00"/>
    <w:rsid w:val="009C4F7F"/>
    <w:rsid w:val="009C5750"/>
    <w:rsid w:val="009C5DF3"/>
    <w:rsid w:val="009C71BC"/>
    <w:rsid w:val="009C7E79"/>
    <w:rsid w:val="009C7F0A"/>
    <w:rsid w:val="009D0A35"/>
    <w:rsid w:val="009D0E48"/>
    <w:rsid w:val="009D0F57"/>
    <w:rsid w:val="009D21BC"/>
    <w:rsid w:val="009D29A8"/>
    <w:rsid w:val="009D380C"/>
    <w:rsid w:val="009D3F7A"/>
    <w:rsid w:val="009D6DC0"/>
    <w:rsid w:val="009D7381"/>
    <w:rsid w:val="009D7E38"/>
    <w:rsid w:val="009E0649"/>
    <w:rsid w:val="009E13DC"/>
    <w:rsid w:val="009E209D"/>
    <w:rsid w:val="009E2C0E"/>
    <w:rsid w:val="009E32F7"/>
    <w:rsid w:val="009E37EA"/>
    <w:rsid w:val="009E52FD"/>
    <w:rsid w:val="009E6FD5"/>
    <w:rsid w:val="009E7790"/>
    <w:rsid w:val="009F32E2"/>
    <w:rsid w:val="009F397D"/>
    <w:rsid w:val="009F4B3A"/>
    <w:rsid w:val="009F6518"/>
    <w:rsid w:val="009F7FD2"/>
    <w:rsid w:val="00A017BF"/>
    <w:rsid w:val="00A03B54"/>
    <w:rsid w:val="00A041DE"/>
    <w:rsid w:val="00A05286"/>
    <w:rsid w:val="00A05395"/>
    <w:rsid w:val="00A05559"/>
    <w:rsid w:val="00A05BB2"/>
    <w:rsid w:val="00A05F70"/>
    <w:rsid w:val="00A062C7"/>
    <w:rsid w:val="00A06749"/>
    <w:rsid w:val="00A07D07"/>
    <w:rsid w:val="00A10148"/>
    <w:rsid w:val="00A10847"/>
    <w:rsid w:val="00A12957"/>
    <w:rsid w:val="00A129D5"/>
    <w:rsid w:val="00A12D77"/>
    <w:rsid w:val="00A1478B"/>
    <w:rsid w:val="00A14D3A"/>
    <w:rsid w:val="00A213D9"/>
    <w:rsid w:val="00A226BC"/>
    <w:rsid w:val="00A228A1"/>
    <w:rsid w:val="00A2314F"/>
    <w:rsid w:val="00A238D4"/>
    <w:rsid w:val="00A24196"/>
    <w:rsid w:val="00A25329"/>
    <w:rsid w:val="00A27C23"/>
    <w:rsid w:val="00A302E0"/>
    <w:rsid w:val="00A3033F"/>
    <w:rsid w:val="00A30934"/>
    <w:rsid w:val="00A31574"/>
    <w:rsid w:val="00A31919"/>
    <w:rsid w:val="00A32503"/>
    <w:rsid w:val="00A331F7"/>
    <w:rsid w:val="00A3373E"/>
    <w:rsid w:val="00A33905"/>
    <w:rsid w:val="00A35260"/>
    <w:rsid w:val="00A37B27"/>
    <w:rsid w:val="00A403CF"/>
    <w:rsid w:val="00A42FE2"/>
    <w:rsid w:val="00A43BE9"/>
    <w:rsid w:val="00A44545"/>
    <w:rsid w:val="00A44FE5"/>
    <w:rsid w:val="00A45A8B"/>
    <w:rsid w:val="00A4660A"/>
    <w:rsid w:val="00A47B21"/>
    <w:rsid w:val="00A50AF9"/>
    <w:rsid w:val="00A52AC6"/>
    <w:rsid w:val="00A54C3B"/>
    <w:rsid w:val="00A555B5"/>
    <w:rsid w:val="00A55E5C"/>
    <w:rsid w:val="00A6130D"/>
    <w:rsid w:val="00A620DB"/>
    <w:rsid w:val="00A62C88"/>
    <w:rsid w:val="00A62E7E"/>
    <w:rsid w:val="00A645A2"/>
    <w:rsid w:val="00A6496F"/>
    <w:rsid w:val="00A657EC"/>
    <w:rsid w:val="00A70512"/>
    <w:rsid w:val="00A705FC"/>
    <w:rsid w:val="00A70733"/>
    <w:rsid w:val="00A721BF"/>
    <w:rsid w:val="00A7285E"/>
    <w:rsid w:val="00A72BB3"/>
    <w:rsid w:val="00A73C2A"/>
    <w:rsid w:val="00A76616"/>
    <w:rsid w:val="00A76EF7"/>
    <w:rsid w:val="00A82318"/>
    <w:rsid w:val="00A827FA"/>
    <w:rsid w:val="00A83545"/>
    <w:rsid w:val="00A83C3D"/>
    <w:rsid w:val="00A85729"/>
    <w:rsid w:val="00A868E7"/>
    <w:rsid w:val="00A86C77"/>
    <w:rsid w:val="00A8700E"/>
    <w:rsid w:val="00A870FE"/>
    <w:rsid w:val="00A87562"/>
    <w:rsid w:val="00A93B3D"/>
    <w:rsid w:val="00A93FAA"/>
    <w:rsid w:val="00A94321"/>
    <w:rsid w:val="00A94970"/>
    <w:rsid w:val="00A95385"/>
    <w:rsid w:val="00A9579C"/>
    <w:rsid w:val="00A96B3F"/>
    <w:rsid w:val="00AA0F9B"/>
    <w:rsid w:val="00AA1B2B"/>
    <w:rsid w:val="00AA1D83"/>
    <w:rsid w:val="00AA1E7B"/>
    <w:rsid w:val="00AA315A"/>
    <w:rsid w:val="00AA515C"/>
    <w:rsid w:val="00AA5499"/>
    <w:rsid w:val="00AB0088"/>
    <w:rsid w:val="00AB1489"/>
    <w:rsid w:val="00AB30EB"/>
    <w:rsid w:val="00AB4666"/>
    <w:rsid w:val="00AB4D3C"/>
    <w:rsid w:val="00AB5933"/>
    <w:rsid w:val="00AB7676"/>
    <w:rsid w:val="00AB77FA"/>
    <w:rsid w:val="00AB7821"/>
    <w:rsid w:val="00AC0329"/>
    <w:rsid w:val="00AC1C22"/>
    <w:rsid w:val="00AC320F"/>
    <w:rsid w:val="00AC32D5"/>
    <w:rsid w:val="00AC3680"/>
    <w:rsid w:val="00AC5E8A"/>
    <w:rsid w:val="00AC5F3F"/>
    <w:rsid w:val="00AC678C"/>
    <w:rsid w:val="00AC698C"/>
    <w:rsid w:val="00AD1208"/>
    <w:rsid w:val="00AD28DA"/>
    <w:rsid w:val="00AD2A97"/>
    <w:rsid w:val="00AD5BB4"/>
    <w:rsid w:val="00AD5CAE"/>
    <w:rsid w:val="00AD6037"/>
    <w:rsid w:val="00AD632E"/>
    <w:rsid w:val="00AD6368"/>
    <w:rsid w:val="00AD7335"/>
    <w:rsid w:val="00AD7652"/>
    <w:rsid w:val="00AD77FE"/>
    <w:rsid w:val="00AD7C1B"/>
    <w:rsid w:val="00AE087F"/>
    <w:rsid w:val="00AE219C"/>
    <w:rsid w:val="00AE2E2A"/>
    <w:rsid w:val="00AE5404"/>
    <w:rsid w:val="00AE5B3E"/>
    <w:rsid w:val="00AE6074"/>
    <w:rsid w:val="00AE7F5C"/>
    <w:rsid w:val="00AF1192"/>
    <w:rsid w:val="00AF2842"/>
    <w:rsid w:val="00AF2A22"/>
    <w:rsid w:val="00AF2B2F"/>
    <w:rsid w:val="00AF55D5"/>
    <w:rsid w:val="00AF5A65"/>
    <w:rsid w:val="00AF60A8"/>
    <w:rsid w:val="00AF73C2"/>
    <w:rsid w:val="00B007AF"/>
    <w:rsid w:val="00B01BDB"/>
    <w:rsid w:val="00B0268C"/>
    <w:rsid w:val="00B03913"/>
    <w:rsid w:val="00B04E48"/>
    <w:rsid w:val="00B107AC"/>
    <w:rsid w:val="00B10C04"/>
    <w:rsid w:val="00B10EC9"/>
    <w:rsid w:val="00B10EFE"/>
    <w:rsid w:val="00B11620"/>
    <w:rsid w:val="00B11AD8"/>
    <w:rsid w:val="00B11D7D"/>
    <w:rsid w:val="00B13016"/>
    <w:rsid w:val="00B136AF"/>
    <w:rsid w:val="00B13E31"/>
    <w:rsid w:val="00B14406"/>
    <w:rsid w:val="00B1483F"/>
    <w:rsid w:val="00B1699F"/>
    <w:rsid w:val="00B20DCB"/>
    <w:rsid w:val="00B23BCF"/>
    <w:rsid w:val="00B24CFC"/>
    <w:rsid w:val="00B25148"/>
    <w:rsid w:val="00B265EC"/>
    <w:rsid w:val="00B26AE2"/>
    <w:rsid w:val="00B31276"/>
    <w:rsid w:val="00B33848"/>
    <w:rsid w:val="00B3486E"/>
    <w:rsid w:val="00B34A60"/>
    <w:rsid w:val="00B34BDD"/>
    <w:rsid w:val="00B35304"/>
    <w:rsid w:val="00B362B6"/>
    <w:rsid w:val="00B36A29"/>
    <w:rsid w:val="00B37902"/>
    <w:rsid w:val="00B4072A"/>
    <w:rsid w:val="00B4073E"/>
    <w:rsid w:val="00B40EA3"/>
    <w:rsid w:val="00B43EC1"/>
    <w:rsid w:val="00B45EA1"/>
    <w:rsid w:val="00B50D45"/>
    <w:rsid w:val="00B52052"/>
    <w:rsid w:val="00B52170"/>
    <w:rsid w:val="00B52897"/>
    <w:rsid w:val="00B5370C"/>
    <w:rsid w:val="00B55632"/>
    <w:rsid w:val="00B5758C"/>
    <w:rsid w:val="00B605E7"/>
    <w:rsid w:val="00B61581"/>
    <w:rsid w:val="00B62844"/>
    <w:rsid w:val="00B64110"/>
    <w:rsid w:val="00B6445A"/>
    <w:rsid w:val="00B70292"/>
    <w:rsid w:val="00B72B7F"/>
    <w:rsid w:val="00B72DEE"/>
    <w:rsid w:val="00B775F2"/>
    <w:rsid w:val="00B77EB0"/>
    <w:rsid w:val="00B809C1"/>
    <w:rsid w:val="00B82F9C"/>
    <w:rsid w:val="00B842A8"/>
    <w:rsid w:val="00B85333"/>
    <w:rsid w:val="00B853DE"/>
    <w:rsid w:val="00B87330"/>
    <w:rsid w:val="00B90FE4"/>
    <w:rsid w:val="00B92BCC"/>
    <w:rsid w:val="00B92CCA"/>
    <w:rsid w:val="00B94BD9"/>
    <w:rsid w:val="00B965C9"/>
    <w:rsid w:val="00B96DC9"/>
    <w:rsid w:val="00BA2F22"/>
    <w:rsid w:val="00BA4A8E"/>
    <w:rsid w:val="00BA766E"/>
    <w:rsid w:val="00BA7676"/>
    <w:rsid w:val="00BA7828"/>
    <w:rsid w:val="00BA7864"/>
    <w:rsid w:val="00BB050B"/>
    <w:rsid w:val="00BB1618"/>
    <w:rsid w:val="00BB1F0A"/>
    <w:rsid w:val="00BB3B1A"/>
    <w:rsid w:val="00BB431A"/>
    <w:rsid w:val="00BB74E2"/>
    <w:rsid w:val="00BC15AA"/>
    <w:rsid w:val="00BC160C"/>
    <w:rsid w:val="00BC46BC"/>
    <w:rsid w:val="00BC730D"/>
    <w:rsid w:val="00BD1CE0"/>
    <w:rsid w:val="00BD43F3"/>
    <w:rsid w:val="00BD59BE"/>
    <w:rsid w:val="00BD5B23"/>
    <w:rsid w:val="00BD65E9"/>
    <w:rsid w:val="00BD6B70"/>
    <w:rsid w:val="00BE1535"/>
    <w:rsid w:val="00BE187D"/>
    <w:rsid w:val="00BE1B0F"/>
    <w:rsid w:val="00BE58F2"/>
    <w:rsid w:val="00BE6682"/>
    <w:rsid w:val="00BE7673"/>
    <w:rsid w:val="00BF0B19"/>
    <w:rsid w:val="00BF21BA"/>
    <w:rsid w:val="00BF2A49"/>
    <w:rsid w:val="00BF329C"/>
    <w:rsid w:val="00BF41E3"/>
    <w:rsid w:val="00BF5BE1"/>
    <w:rsid w:val="00BF6C98"/>
    <w:rsid w:val="00C00702"/>
    <w:rsid w:val="00C00EB6"/>
    <w:rsid w:val="00C013F7"/>
    <w:rsid w:val="00C014E2"/>
    <w:rsid w:val="00C02242"/>
    <w:rsid w:val="00C0237D"/>
    <w:rsid w:val="00C03488"/>
    <w:rsid w:val="00C0352F"/>
    <w:rsid w:val="00C03958"/>
    <w:rsid w:val="00C03CF8"/>
    <w:rsid w:val="00C04154"/>
    <w:rsid w:val="00C05301"/>
    <w:rsid w:val="00C06899"/>
    <w:rsid w:val="00C06911"/>
    <w:rsid w:val="00C074D0"/>
    <w:rsid w:val="00C113C2"/>
    <w:rsid w:val="00C12A97"/>
    <w:rsid w:val="00C20168"/>
    <w:rsid w:val="00C207D5"/>
    <w:rsid w:val="00C2130E"/>
    <w:rsid w:val="00C21CD4"/>
    <w:rsid w:val="00C22141"/>
    <w:rsid w:val="00C2274A"/>
    <w:rsid w:val="00C248E9"/>
    <w:rsid w:val="00C249BB"/>
    <w:rsid w:val="00C256AD"/>
    <w:rsid w:val="00C26384"/>
    <w:rsid w:val="00C3043B"/>
    <w:rsid w:val="00C30955"/>
    <w:rsid w:val="00C316E1"/>
    <w:rsid w:val="00C322D2"/>
    <w:rsid w:val="00C33452"/>
    <w:rsid w:val="00C3368A"/>
    <w:rsid w:val="00C3529D"/>
    <w:rsid w:val="00C35610"/>
    <w:rsid w:val="00C35B17"/>
    <w:rsid w:val="00C361D9"/>
    <w:rsid w:val="00C370D2"/>
    <w:rsid w:val="00C41B2A"/>
    <w:rsid w:val="00C42DE3"/>
    <w:rsid w:val="00C4624F"/>
    <w:rsid w:val="00C4673E"/>
    <w:rsid w:val="00C46BCA"/>
    <w:rsid w:val="00C46F93"/>
    <w:rsid w:val="00C504C2"/>
    <w:rsid w:val="00C51E84"/>
    <w:rsid w:val="00C5392F"/>
    <w:rsid w:val="00C54EB9"/>
    <w:rsid w:val="00C552F3"/>
    <w:rsid w:val="00C563FB"/>
    <w:rsid w:val="00C57E50"/>
    <w:rsid w:val="00C621E4"/>
    <w:rsid w:val="00C6321B"/>
    <w:rsid w:val="00C644BB"/>
    <w:rsid w:val="00C64675"/>
    <w:rsid w:val="00C64D10"/>
    <w:rsid w:val="00C64D7C"/>
    <w:rsid w:val="00C65E6F"/>
    <w:rsid w:val="00C67541"/>
    <w:rsid w:val="00C67E9A"/>
    <w:rsid w:val="00C71A12"/>
    <w:rsid w:val="00C721D0"/>
    <w:rsid w:val="00C7367E"/>
    <w:rsid w:val="00C7515E"/>
    <w:rsid w:val="00C75F4B"/>
    <w:rsid w:val="00C76D08"/>
    <w:rsid w:val="00C80605"/>
    <w:rsid w:val="00C80F3F"/>
    <w:rsid w:val="00C813EC"/>
    <w:rsid w:val="00C816B5"/>
    <w:rsid w:val="00C82142"/>
    <w:rsid w:val="00C837D3"/>
    <w:rsid w:val="00C879EF"/>
    <w:rsid w:val="00C92470"/>
    <w:rsid w:val="00C9369E"/>
    <w:rsid w:val="00C94433"/>
    <w:rsid w:val="00C94B42"/>
    <w:rsid w:val="00C96C17"/>
    <w:rsid w:val="00C97708"/>
    <w:rsid w:val="00CA0BB1"/>
    <w:rsid w:val="00CA0E9A"/>
    <w:rsid w:val="00CA37EE"/>
    <w:rsid w:val="00CB0D0A"/>
    <w:rsid w:val="00CB1A28"/>
    <w:rsid w:val="00CB22CE"/>
    <w:rsid w:val="00CB2459"/>
    <w:rsid w:val="00CB3067"/>
    <w:rsid w:val="00CB4A0A"/>
    <w:rsid w:val="00CB5F8A"/>
    <w:rsid w:val="00CB6866"/>
    <w:rsid w:val="00CB7CA5"/>
    <w:rsid w:val="00CB7EB6"/>
    <w:rsid w:val="00CC062C"/>
    <w:rsid w:val="00CC22FB"/>
    <w:rsid w:val="00CC330B"/>
    <w:rsid w:val="00CC3802"/>
    <w:rsid w:val="00CC383A"/>
    <w:rsid w:val="00CC448C"/>
    <w:rsid w:val="00CC4EAB"/>
    <w:rsid w:val="00CC536C"/>
    <w:rsid w:val="00CC538B"/>
    <w:rsid w:val="00CC5908"/>
    <w:rsid w:val="00CC5B92"/>
    <w:rsid w:val="00CC6454"/>
    <w:rsid w:val="00CC68E2"/>
    <w:rsid w:val="00CC713C"/>
    <w:rsid w:val="00CD1D3F"/>
    <w:rsid w:val="00CD2A7D"/>
    <w:rsid w:val="00CD3531"/>
    <w:rsid w:val="00CD36DA"/>
    <w:rsid w:val="00CD3FDF"/>
    <w:rsid w:val="00CD52FF"/>
    <w:rsid w:val="00CD5E7D"/>
    <w:rsid w:val="00CD715A"/>
    <w:rsid w:val="00CD72AA"/>
    <w:rsid w:val="00CD7729"/>
    <w:rsid w:val="00CD7D82"/>
    <w:rsid w:val="00CE1D49"/>
    <w:rsid w:val="00CE2E9E"/>
    <w:rsid w:val="00CE3396"/>
    <w:rsid w:val="00CE34F7"/>
    <w:rsid w:val="00CE4D67"/>
    <w:rsid w:val="00CE5F63"/>
    <w:rsid w:val="00CE670F"/>
    <w:rsid w:val="00CE7CE1"/>
    <w:rsid w:val="00CF0D75"/>
    <w:rsid w:val="00CF2133"/>
    <w:rsid w:val="00CF3F13"/>
    <w:rsid w:val="00CF4262"/>
    <w:rsid w:val="00CF525C"/>
    <w:rsid w:val="00CF65A9"/>
    <w:rsid w:val="00CF68CA"/>
    <w:rsid w:val="00CF79B8"/>
    <w:rsid w:val="00D007E9"/>
    <w:rsid w:val="00D00E51"/>
    <w:rsid w:val="00D02527"/>
    <w:rsid w:val="00D03633"/>
    <w:rsid w:val="00D04183"/>
    <w:rsid w:val="00D0422E"/>
    <w:rsid w:val="00D0440C"/>
    <w:rsid w:val="00D05CA7"/>
    <w:rsid w:val="00D06053"/>
    <w:rsid w:val="00D06088"/>
    <w:rsid w:val="00D076A4"/>
    <w:rsid w:val="00D07B8F"/>
    <w:rsid w:val="00D11C51"/>
    <w:rsid w:val="00D131BE"/>
    <w:rsid w:val="00D13936"/>
    <w:rsid w:val="00D13DBB"/>
    <w:rsid w:val="00D13F24"/>
    <w:rsid w:val="00D141B5"/>
    <w:rsid w:val="00D14B68"/>
    <w:rsid w:val="00D1611A"/>
    <w:rsid w:val="00D164E4"/>
    <w:rsid w:val="00D16D83"/>
    <w:rsid w:val="00D17520"/>
    <w:rsid w:val="00D218B4"/>
    <w:rsid w:val="00D219D7"/>
    <w:rsid w:val="00D21A77"/>
    <w:rsid w:val="00D22894"/>
    <w:rsid w:val="00D232D4"/>
    <w:rsid w:val="00D23913"/>
    <w:rsid w:val="00D24D05"/>
    <w:rsid w:val="00D24D3F"/>
    <w:rsid w:val="00D264FA"/>
    <w:rsid w:val="00D311B1"/>
    <w:rsid w:val="00D31896"/>
    <w:rsid w:val="00D320D2"/>
    <w:rsid w:val="00D320E3"/>
    <w:rsid w:val="00D35CED"/>
    <w:rsid w:val="00D35F6C"/>
    <w:rsid w:val="00D3669C"/>
    <w:rsid w:val="00D36849"/>
    <w:rsid w:val="00D3710E"/>
    <w:rsid w:val="00D40B5A"/>
    <w:rsid w:val="00D41636"/>
    <w:rsid w:val="00D4186C"/>
    <w:rsid w:val="00D4280F"/>
    <w:rsid w:val="00D44E71"/>
    <w:rsid w:val="00D4525A"/>
    <w:rsid w:val="00D463DF"/>
    <w:rsid w:val="00D477E4"/>
    <w:rsid w:val="00D47863"/>
    <w:rsid w:val="00D47888"/>
    <w:rsid w:val="00D478B9"/>
    <w:rsid w:val="00D51252"/>
    <w:rsid w:val="00D51AE6"/>
    <w:rsid w:val="00D52BC8"/>
    <w:rsid w:val="00D5307A"/>
    <w:rsid w:val="00D53443"/>
    <w:rsid w:val="00D53DC5"/>
    <w:rsid w:val="00D54509"/>
    <w:rsid w:val="00D54AC1"/>
    <w:rsid w:val="00D564AF"/>
    <w:rsid w:val="00D57179"/>
    <w:rsid w:val="00D57818"/>
    <w:rsid w:val="00D6199A"/>
    <w:rsid w:val="00D61D73"/>
    <w:rsid w:val="00D62D17"/>
    <w:rsid w:val="00D62F26"/>
    <w:rsid w:val="00D63866"/>
    <w:rsid w:val="00D64C8F"/>
    <w:rsid w:val="00D65978"/>
    <w:rsid w:val="00D65DDB"/>
    <w:rsid w:val="00D66465"/>
    <w:rsid w:val="00D67DBD"/>
    <w:rsid w:val="00D715D2"/>
    <w:rsid w:val="00D716D2"/>
    <w:rsid w:val="00D73417"/>
    <w:rsid w:val="00D73742"/>
    <w:rsid w:val="00D73A10"/>
    <w:rsid w:val="00D742FA"/>
    <w:rsid w:val="00D746D3"/>
    <w:rsid w:val="00D76E3C"/>
    <w:rsid w:val="00D77BDE"/>
    <w:rsid w:val="00D81D50"/>
    <w:rsid w:val="00D84CBE"/>
    <w:rsid w:val="00D85008"/>
    <w:rsid w:val="00D87694"/>
    <w:rsid w:val="00D905BA"/>
    <w:rsid w:val="00D91FD3"/>
    <w:rsid w:val="00D93BFA"/>
    <w:rsid w:val="00DA073B"/>
    <w:rsid w:val="00DA141A"/>
    <w:rsid w:val="00DA2234"/>
    <w:rsid w:val="00DA2288"/>
    <w:rsid w:val="00DA3BC2"/>
    <w:rsid w:val="00DA4634"/>
    <w:rsid w:val="00DA4BA2"/>
    <w:rsid w:val="00DA52C6"/>
    <w:rsid w:val="00DA5CF5"/>
    <w:rsid w:val="00DA7114"/>
    <w:rsid w:val="00DA784B"/>
    <w:rsid w:val="00DB003E"/>
    <w:rsid w:val="00DB0E00"/>
    <w:rsid w:val="00DB12F5"/>
    <w:rsid w:val="00DB2B24"/>
    <w:rsid w:val="00DB3BCE"/>
    <w:rsid w:val="00DB503E"/>
    <w:rsid w:val="00DB6874"/>
    <w:rsid w:val="00DB76F7"/>
    <w:rsid w:val="00DC0323"/>
    <w:rsid w:val="00DC0C98"/>
    <w:rsid w:val="00DC0EA4"/>
    <w:rsid w:val="00DC239D"/>
    <w:rsid w:val="00DC3242"/>
    <w:rsid w:val="00DC494F"/>
    <w:rsid w:val="00DC55EE"/>
    <w:rsid w:val="00DC6CC3"/>
    <w:rsid w:val="00DC7131"/>
    <w:rsid w:val="00DC78F4"/>
    <w:rsid w:val="00DD053F"/>
    <w:rsid w:val="00DD0A7A"/>
    <w:rsid w:val="00DD513D"/>
    <w:rsid w:val="00DD740D"/>
    <w:rsid w:val="00DD7AA4"/>
    <w:rsid w:val="00DD7EF4"/>
    <w:rsid w:val="00DE0C67"/>
    <w:rsid w:val="00DE14E9"/>
    <w:rsid w:val="00DE2B73"/>
    <w:rsid w:val="00DE330B"/>
    <w:rsid w:val="00DE46D4"/>
    <w:rsid w:val="00DE4708"/>
    <w:rsid w:val="00DE4A48"/>
    <w:rsid w:val="00DE5082"/>
    <w:rsid w:val="00DE589D"/>
    <w:rsid w:val="00DE6706"/>
    <w:rsid w:val="00DF1522"/>
    <w:rsid w:val="00DF1D39"/>
    <w:rsid w:val="00DF4175"/>
    <w:rsid w:val="00DF4501"/>
    <w:rsid w:val="00DF5112"/>
    <w:rsid w:val="00DF5A14"/>
    <w:rsid w:val="00DF620A"/>
    <w:rsid w:val="00DF6986"/>
    <w:rsid w:val="00DF6BEB"/>
    <w:rsid w:val="00DF6EE7"/>
    <w:rsid w:val="00DF74D2"/>
    <w:rsid w:val="00E0020E"/>
    <w:rsid w:val="00E04502"/>
    <w:rsid w:val="00E06227"/>
    <w:rsid w:val="00E07706"/>
    <w:rsid w:val="00E101FA"/>
    <w:rsid w:val="00E10FD8"/>
    <w:rsid w:val="00E119DD"/>
    <w:rsid w:val="00E11CA1"/>
    <w:rsid w:val="00E13438"/>
    <w:rsid w:val="00E1512C"/>
    <w:rsid w:val="00E15264"/>
    <w:rsid w:val="00E16479"/>
    <w:rsid w:val="00E168FB"/>
    <w:rsid w:val="00E204E4"/>
    <w:rsid w:val="00E214DC"/>
    <w:rsid w:val="00E25115"/>
    <w:rsid w:val="00E256B2"/>
    <w:rsid w:val="00E25922"/>
    <w:rsid w:val="00E274B4"/>
    <w:rsid w:val="00E275E8"/>
    <w:rsid w:val="00E303DD"/>
    <w:rsid w:val="00E31039"/>
    <w:rsid w:val="00E3171C"/>
    <w:rsid w:val="00E319D2"/>
    <w:rsid w:val="00E3281B"/>
    <w:rsid w:val="00E33D0D"/>
    <w:rsid w:val="00E33EE2"/>
    <w:rsid w:val="00E3525D"/>
    <w:rsid w:val="00E36C92"/>
    <w:rsid w:val="00E4019A"/>
    <w:rsid w:val="00E40281"/>
    <w:rsid w:val="00E40970"/>
    <w:rsid w:val="00E41785"/>
    <w:rsid w:val="00E41EF4"/>
    <w:rsid w:val="00E4215E"/>
    <w:rsid w:val="00E42916"/>
    <w:rsid w:val="00E43C9A"/>
    <w:rsid w:val="00E4548B"/>
    <w:rsid w:val="00E454F0"/>
    <w:rsid w:val="00E464EF"/>
    <w:rsid w:val="00E47EA8"/>
    <w:rsid w:val="00E51918"/>
    <w:rsid w:val="00E52280"/>
    <w:rsid w:val="00E531F7"/>
    <w:rsid w:val="00E53596"/>
    <w:rsid w:val="00E541C5"/>
    <w:rsid w:val="00E547A4"/>
    <w:rsid w:val="00E547DD"/>
    <w:rsid w:val="00E54B90"/>
    <w:rsid w:val="00E55F46"/>
    <w:rsid w:val="00E616A8"/>
    <w:rsid w:val="00E61CBE"/>
    <w:rsid w:val="00E62D12"/>
    <w:rsid w:val="00E664C6"/>
    <w:rsid w:val="00E664EF"/>
    <w:rsid w:val="00E66A38"/>
    <w:rsid w:val="00E67121"/>
    <w:rsid w:val="00E6779B"/>
    <w:rsid w:val="00E7012D"/>
    <w:rsid w:val="00E70158"/>
    <w:rsid w:val="00E725B5"/>
    <w:rsid w:val="00E73E02"/>
    <w:rsid w:val="00E745BA"/>
    <w:rsid w:val="00E7477E"/>
    <w:rsid w:val="00E74B05"/>
    <w:rsid w:val="00E758C1"/>
    <w:rsid w:val="00E75C04"/>
    <w:rsid w:val="00E762E6"/>
    <w:rsid w:val="00E776A9"/>
    <w:rsid w:val="00E77874"/>
    <w:rsid w:val="00E859C8"/>
    <w:rsid w:val="00E85B55"/>
    <w:rsid w:val="00E86DE3"/>
    <w:rsid w:val="00E86F43"/>
    <w:rsid w:val="00E909D1"/>
    <w:rsid w:val="00E91228"/>
    <w:rsid w:val="00E91508"/>
    <w:rsid w:val="00E91C20"/>
    <w:rsid w:val="00E91DC0"/>
    <w:rsid w:val="00E9681B"/>
    <w:rsid w:val="00EA0586"/>
    <w:rsid w:val="00EA0D97"/>
    <w:rsid w:val="00EA0EC8"/>
    <w:rsid w:val="00EA1D42"/>
    <w:rsid w:val="00EA3238"/>
    <w:rsid w:val="00EA4A6F"/>
    <w:rsid w:val="00EA5F3C"/>
    <w:rsid w:val="00EA685F"/>
    <w:rsid w:val="00EA7DE8"/>
    <w:rsid w:val="00EA7E74"/>
    <w:rsid w:val="00EB07D6"/>
    <w:rsid w:val="00EB153A"/>
    <w:rsid w:val="00EB348A"/>
    <w:rsid w:val="00EB4424"/>
    <w:rsid w:val="00EB4A13"/>
    <w:rsid w:val="00EB5183"/>
    <w:rsid w:val="00EB7002"/>
    <w:rsid w:val="00EC17D0"/>
    <w:rsid w:val="00EC1BF3"/>
    <w:rsid w:val="00EC2D57"/>
    <w:rsid w:val="00EC3501"/>
    <w:rsid w:val="00EC4246"/>
    <w:rsid w:val="00EC476C"/>
    <w:rsid w:val="00EC4EE1"/>
    <w:rsid w:val="00EC52E5"/>
    <w:rsid w:val="00ED1FC9"/>
    <w:rsid w:val="00ED20E1"/>
    <w:rsid w:val="00ED26B3"/>
    <w:rsid w:val="00ED2BE0"/>
    <w:rsid w:val="00ED3F3E"/>
    <w:rsid w:val="00ED47E1"/>
    <w:rsid w:val="00ED4991"/>
    <w:rsid w:val="00EE01A3"/>
    <w:rsid w:val="00EE144A"/>
    <w:rsid w:val="00EE1C27"/>
    <w:rsid w:val="00EE2905"/>
    <w:rsid w:val="00EE2F5F"/>
    <w:rsid w:val="00EE4CA7"/>
    <w:rsid w:val="00EE53F4"/>
    <w:rsid w:val="00EE55C7"/>
    <w:rsid w:val="00EE6DEE"/>
    <w:rsid w:val="00EE7EB3"/>
    <w:rsid w:val="00EF0614"/>
    <w:rsid w:val="00EF0FAD"/>
    <w:rsid w:val="00EF1B11"/>
    <w:rsid w:val="00EF2CB7"/>
    <w:rsid w:val="00EF376B"/>
    <w:rsid w:val="00EF3796"/>
    <w:rsid w:val="00EF40E9"/>
    <w:rsid w:val="00EF4815"/>
    <w:rsid w:val="00EF56D3"/>
    <w:rsid w:val="00EF7C71"/>
    <w:rsid w:val="00F01FE7"/>
    <w:rsid w:val="00F02263"/>
    <w:rsid w:val="00F04ECD"/>
    <w:rsid w:val="00F1067D"/>
    <w:rsid w:val="00F117D5"/>
    <w:rsid w:val="00F12B7E"/>
    <w:rsid w:val="00F12F3A"/>
    <w:rsid w:val="00F1458F"/>
    <w:rsid w:val="00F16554"/>
    <w:rsid w:val="00F20A37"/>
    <w:rsid w:val="00F20AD9"/>
    <w:rsid w:val="00F215FC"/>
    <w:rsid w:val="00F242F3"/>
    <w:rsid w:val="00F24A1E"/>
    <w:rsid w:val="00F31248"/>
    <w:rsid w:val="00F31C1D"/>
    <w:rsid w:val="00F32197"/>
    <w:rsid w:val="00F334C5"/>
    <w:rsid w:val="00F33BC6"/>
    <w:rsid w:val="00F34405"/>
    <w:rsid w:val="00F34AAB"/>
    <w:rsid w:val="00F35647"/>
    <w:rsid w:val="00F3624F"/>
    <w:rsid w:val="00F3736C"/>
    <w:rsid w:val="00F37CF3"/>
    <w:rsid w:val="00F4144C"/>
    <w:rsid w:val="00F41E1D"/>
    <w:rsid w:val="00F42440"/>
    <w:rsid w:val="00F42854"/>
    <w:rsid w:val="00F438F1"/>
    <w:rsid w:val="00F4593B"/>
    <w:rsid w:val="00F502A0"/>
    <w:rsid w:val="00F51AE2"/>
    <w:rsid w:val="00F5237A"/>
    <w:rsid w:val="00F526FD"/>
    <w:rsid w:val="00F534B5"/>
    <w:rsid w:val="00F54800"/>
    <w:rsid w:val="00F54C7E"/>
    <w:rsid w:val="00F550D2"/>
    <w:rsid w:val="00F551D1"/>
    <w:rsid w:val="00F563F5"/>
    <w:rsid w:val="00F56D06"/>
    <w:rsid w:val="00F57266"/>
    <w:rsid w:val="00F57DFC"/>
    <w:rsid w:val="00F61CF6"/>
    <w:rsid w:val="00F620E0"/>
    <w:rsid w:val="00F63AA3"/>
    <w:rsid w:val="00F646DA"/>
    <w:rsid w:val="00F655CC"/>
    <w:rsid w:val="00F65B1C"/>
    <w:rsid w:val="00F65C97"/>
    <w:rsid w:val="00F66136"/>
    <w:rsid w:val="00F671C3"/>
    <w:rsid w:val="00F6733C"/>
    <w:rsid w:val="00F67591"/>
    <w:rsid w:val="00F7032A"/>
    <w:rsid w:val="00F70E88"/>
    <w:rsid w:val="00F71F4A"/>
    <w:rsid w:val="00F71F7F"/>
    <w:rsid w:val="00F72ADE"/>
    <w:rsid w:val="00F72D98"/>
    <w:rsid w:val="00F72F7B"/>
    <w:rsid w:val="00F73008"/>
    <w:rsid w:val="00F732A1"/>
    <w:rsid w:val="00F73C9E"/>
    <w:rsid w:val="00F73CF9"/>
    <w:rsid w:val="00F748CE"/>
    <w:rsid w:val="00F769A0"/>
    <w:rsid w:val="00F802E9"/>
    <w:rsid w:val="00F80632"/>
    <w:rsid w:val="00F8271C"/>
    <w:rsid w:val="00F82983"/>
    <w:rsid w:val="00F84687"/>
    <w:rsid w:val="00F9082D"/>
    <w:rsid w:val="00F9277D"/>
    <w:rsid w:val="00F92AFD"/>
    <w:rsid w:val="00F940D9"/>
    <w:rsid w:val="00F97B90"/>
    <w:rsid w:val="00FA072F"/>
    <w:rsid w:val="00FA28C5"/>
    <w:rsid w:val="00FA2D21"/>
    <w:rsid w:val="00FA3627"/>
    <w:rsid w:val="00FA3C11"/>
    <w:rsid w:val="00FA47D4"/>
    <w:rsid w:val="00FA65F8"/>
    <w:rsid w:val="00FB02B4"/>
    <w:rsid w:val="00FB12B1"/>
    <w:rsid w:val="00FB1465"/>
    <w:rsid w:val="00FB306B"/>
    <w:rsid w:val="00FB3736"/>
    <w:rsid w:val="00FB41D4"/>
    <w:rsid w:val="00FB4E8F"/>
    <w:rsid w:val="00FB5696"/>
    <w:rsid w:val="00FB6B1B"/>
    <w:rsid w:val="00FB7F7A"/>
    <w:rsid w:val="00FC108A"/>
    <w:rsid w:val="00FC6483"/>
    <w:rsid w:val="00FC6AC0"/>
    <w:rsid w:val="00FC7C47"/>
    <w:rsid w:val="00FD027E"/>
    <w:rsid w:val="00FD085C"/>
    <w:rsid w:val="00FD1862"/>
    <w:rsid w:val="00FD2555"/>
    <w:rsid w:val="00FD2D5F"/>
    <w:rsid w:val="00FD3DF5"/>
    <w:rsid w:val="00FD530C"/>
    <w:rsid w:val="00FD7193"/>
    <w:rsid w:val="00FD766C"/>
    <w:rsid w:val="00FE04FD"/>
    <w:rsid w:val="00FE1A12"/>
    <w:rsid w:val="00FE2054"/>
    <w:rsid w:val="00FE29B6"/>
    <w:rsid w:val="00FE3267"/>
    <w:rsid w:val="00FE33B1"/>
    <w:rsid w:val="00FE359A"/>
    <w:rsid w:val="00FE5F49"/>
    <w:rsid w:val="00FE678E"/>
    <w:rsid w:val="00FE7D7B"/>
    <w:rsid w:val="00FF088F"/>
    <w:rsid w:val="00FF132A"/>
    <w:rsid w:val="00FF1E9F"/>
    <w:rsid w:val="00FF2E2E"/>
    <w:rsid w:val="00FF37C0"/>
    <w:rsid w:val="00FF3D26"/>
    <w:rsid w:val="00FF4DD1"/>
    <w:rsid w:val="00FF5079"/>
    <w:rsid w:val="00FF53D8"/>
    <w:rsid w:val="00FF5D5E"/>
    <w:rsid w:val="00FF7897"/>
    <w:rsid w:val="01265E31"/>
    <w:rsid w:val="017F5DC0"/>
    <w:rsid w:val="019C141F"/>
    <w:rsid w:val="01AE311C"/>
    <w:rsid w:val="01E85E62"/>
    <w:rsid w:val="020407CC"/>
    <w:rsid w:val="02220CC0"/>
    <w:rsid w:val="0225411D"/>
    <w:rsid w:val="02382892"/>
    <w:rsid w:val="024C0CC7"/>
    <w:rsid w:val="0271027E"/>
    <w:rsid w:val="028C37DB"/>
    <w:rsid w:val="028E1847"/>
    <w:rsid w:val="0292573B"/>
    <w:rsid w:val="02983D03"/>
    <w:rsid w:val="029C3145"/>
    <w:rsid w:val="02B70BCF"/>
    <w:rsid w:val="02D6784D"/>
    <w:rsid w:val="03074CBD"/>
    <w:rsid w:val="03100052"/>
    <w:rsid w:val="03176469"/>
    <w:rsid w:val="032E6434"/>
    <w:rsid w:val="03322F7F"/>
    <w:rsid w:val="03335272"/>
    <w:rsid w:val="03750A9D"/>
    <w:rsid w:val="037F4505"/>
    <w:rsid w:val="03903C1F"/>
    <w:rsid w:val="03AF12F7"/>
    <w:rsid w:val="03AF55D6"/>
    <w:rsid w:val="03B444FC"/>
    <w:rsid w:val="03B81333"/>
    <w:rsid w:val="03C07382"/>
    <w:rsid w:val="03C319A1"/>
    <w:rsid w:val="03D2472D"/>
    <w:rsid w:val="03E63188"/>
    <w:rsid w:val="042D51E3"/>
    <w:rsid w:val="048513BE"/>
    <w:rsid w:val="04980941"/>
    <w:rsid w:val="04BA0B60"/>
    <w:rsid w:val="04D21F14"/>
    <w:rsid w:val="052655EF"/>
    <w:rsid w:val="055C0F46"/>
    <w:rsid w:val="056E6808"/>
    <w:rsid w:val="05700978"/>
    <w:rsid w:val="05966301"/>
    <w:rsid w:val="05AD25E1"/>
    <w:rsid w:val="05E62E09"/>
    <w:rsid w:val="05E90126"/>
    <w:rsid w:val="05F660C5"/>
    <w:rsid w:val="064A5DA7"/>
    <w:rsid w:val="065E4FFD"/>
    <w:rsid w:val="068D6C45"/>
    <w:rsid w:val="06960610"/>
    <w:rsid w:val="06DC6022"/>
    <w:rsid w:val="06EE0E97"/>
    <w:rsid w:val="06F3683A"/>
    <w:rsid w:val="06FA05D5"/>
    <w:rsid w:val="078534F6"/>
    <w:rsid w:val="07BD321A"/>
    <w:rsid w:val="07C06D3F"/>
    <w:rsid w:val="07C5758F"/>
    <w:rsid w:val="07D13B6A"/>
    <w:rsid w:val="07F40CBF"/>
    <w:rsid w:val="081466CC"/>
    <w:rsid w:val="08327D56"/>
    <w:rsid w:val="085A4217"/>
    <w:rsid w:val="08BB5C4C"/>
    <w:rsid w:val="08EB504A"/>
    <w:rsid w:val="090E4203"/>
    <w:rsid w:val="0932487E"/>
    <w:rsid w:val="096251CC"/>
    <w:rsid w:val="0976695B"/>
    <w:rsid w:val="09B16925"/>
    <w:rsid w:val="09CB4A79"/>
    <w:rsid w:val="09DF78F6"/>
    <w:rsid w:val="0A024FC7"/>
    <w:rsid w:val="0A3D0E35"/>
    <w:rsid w:val="0A484494"/>
    <w:rsid w:val="0A4E58F9"/>
    <w:rsid w:val="0A556A25"/>
    <w:rsid w:val="0A635A8C"/>
    <w:rsid w:val="0A850FE4"/>
    <w:rsid w:val="0A877572"/>
    <w:rsid w:val="0A896E9F"/>
    <w:rsid w:val="0AEA2F37"/>
    <w:rsid w:val="0AEB02B1"/>
    <w:rsid w:val="0B096EB0"/>
    <w:rsid w:val="0B3D3730"/>
    <w:rsid w:val="0B56454F"/>
    <w:rsid w:val="0B593325"/>
    <w:rsid w:val="0B95045A"/>
    <w:rsid w:val="0B98477A"/>
    <w:rsid w:val="0BB7343C"/>
    <w:rsid w:val="0C2F2456"/>
    <w:rsid w:val="0C316A26"/>
    <w:rsid w:val="0C321B90"/>
    <w:rsid w:val="0C596322"/>
    <w:rsid w:val="0C69176D"/>
    <w:rsid w:val="0C8A677F"/>
    <w:rsid w:val="0CB5345C"/>
    <w:rsid w:val="0CE25F20"/>
    <w:rsid w:val="0CEC4AA4"/>
    <w:rsid w:val="0D072DAB"/>
    <w:rsid w:val="0D135FF5"/>
    <w:rsid w:val="0D1438A7"/>
    <w:rsid w:val="0D1C0CC4"/>
    <w:rsid w:val="0D4D2571"/>
    <w:rsid w:val="0DA56685"/>
    <w:rsid w:val="0DB74B08"/>
    <w:rsid w:val="0E307DC1"/>
    <w:rsid w:val="0E454C35"/>
    <w:rsid w:val="0E4D7424"/>
    <w:rsid w:val="0E4F147A"/>
    <w:rsid w:val="0E506ADB"/>
    <w:rsid w:val="0E530D28"/>
    <w:rsid w:val="0E6354DA"/>
    <w:rsid w:val="0EC86289"/>
    <w:rsid w:val="0ECF3C77"/>
    <w:rsid w:val="0F206561"/>
    <w:rsid w:val="0F366BF4"/>
    <w:rsid w:val="0F40431F"/>
    <w:rsid w:val="0F4122F0"/>
    <w:rsid w:val="0F4B7507"/>
    <w:rsid w:val="0F871B02"/>
    <w:rsid w:val="0F9E7098"/>
    <w:rsid w:val="0FA35600"/>
    <w:rsid w:val="0FE542FB"/>
    <w:rsid w:val="100066DA"/>
    <w:rsid w:val="1031724B"/>
    <w:rsid w:val="10677B9B"/>
    <w:rsid w:val="107F4121"/>
    <w:rsid w:val="108B67F2"/>
    <w:rsid w:val="10957B92"/>
    <w:rsid w:val="10C51F19"/>
    <w:rsid w:val="10D646DA"/>
    <w:rsid w:val="10D75D0B"/>
    <w:rsid w:val="10E25E98"/>
    <w:rsid w:val="113759E8"/>
    <w:rsid w:val="11875BA7"/>
    <w:rsid w:val="11B05D13"/>
    <w:rsid w:val="11BD07E6"/>
    <w:rsid w:val="11E66B45"/>
    <w:rsid w:val="121979A7"/>
    <w:rsid w:val="12235F63"/>
    <w:rsid w:val="12FC55E5"/>
    <w:rsid w:val="13430747"/>
    <w:rsid w:val="138C38DB"/>
    <w:rsid w:val="13DD3E2F"/>
    <w:rsid w:val="143A5604"/>
    <w:rsid w:val="14425B91"/>
    <w:rsid w:val="149D09FF"/>
    <w:rsid w:val="14C27894"/>
    <w:rsid w:val="14CA62B3"/>
    <w:rsid w:val="14D932D0"/>
    <w:rsid w:val="14F24CFF"/>
    <w:rsid w:val="15157299"/>
    <w:rsid w:val="1544231A"/>
    <w:rsid w:val="1544705A"/>
    <w:rsid w:val="15774535"/>
    <w:rsid w:val="15A71C1D"/>
    <w:rsid w:val="15B4044D"/>
    <w:rsid w:val="15B61933"/>
    <w:rsid w:val="15BE3C99"/>
    <w:rsid w:val="15CC4151"/>
    <w:rsid w:val="16157582"/>
    <w:rsid w:val="161B4595"/>
    <w:rsid w:val="165E1372"/>
    <w:rsid w:val="16652FA1"/>
    <w:rsid w:val="16670DED"/>
    <w:rsid w:val="1667233D"/>
    <w:rsid w:val="167853F6"/>
    <w:rsid w:val="16997176"/>
    <w:rsid w:val="16A06441"/>
    <w:rsid w:val="16EA2A34"/>
    <w:rsid w:val="178D164B"/>
    <w:rsid w:val="17A8393E"/>
    <w:rsid w:val="17DF606D"/>
    <w:rsid w:val="17E97CF1"/>
    <w:rsid w:val="17F262D1"/>
    <w:rsid w:val="17FC38EC"/>
    <w:rsid w:val="18043C25"/>
    <w:rsid w:val="18C072D4"/>
    <w:rsid w:val="18D13064"/>
    <w:rsid w:val="18D83497"/>
    <w:rsid w:val="18EF7BB7"/>
    <w:rsid w:val="18F1739E"/>
    <w:rsid w:val="19143FA0"/>
    <w:rsid w:val="194139E2"/>
    <w:rsid w:val="195901CB"/>
    <w:rsid w:val="19756730"/>
    <w:rsid w:val="1978329C"/>
    <w:rsid w:val="19A2226F"/>
    <w:rsid w:val="19C77E05"/>
    <w:rsid w:val="19DE2A3B"/>
    <w:rsid w:val="1A077661"/>
    <w:rsid w:val="1A221AAE"/>
    <w:rsid w:val="1A2B2610"/>
    <w:rsid w:val="1A3E4C34"/>
    <w:rsid w:val="1A4506CC"/>
    <w:rsid w:val="1A451399"/>
    <w:rsid w:val="1A9C7C5A"/>
    <w:rsid w:val="1AE973B2"/>
    <w:rsid w:val="1B5E658C"/>
    <w:rsid w:val="1BAB31A9"/>
    <w:rsid w:val="1BB824CA"/>
    <w:rsid w:val="1BC25F36"/>
    <w:rsid w:val="1BD31225"/>
    <w:rsid w:val="1C174692"/>
    <w:rsid w:val="1C314C64"/>
    <w:rsid w:val="1C350386"/>
    <w:rsid w:val="1C5B7DD3"/>
    <w:rsid w:val="1C5D7403"/>
    <w:rsid w:val="1C6B2AB8"/>
    <w:rsid w:val="1C741A88"/>
    <w:rsid w:val="1CB72B4A"/>
    <w:rsid w:val="1CCA5E0A"/>
    <w:rsid w:val="1CD45D85"/>
    <w:rsid w:val="1CE9350D"/>
    <w:rsid w:val="1D1959B0"/>
    <w:rsid w:val="1D24747E"/>
    <w:rsid w:val="1D3B7A89"/>
    <w:rsid w:val="1D3F2F54"/>
    <w:rsid w:val="1D751173"/>
    <w:rsid w:val="1D7C6A8D"/>
    <w:rsid w:val="1D8875C1"/>
    <w:rsid w:val="1D9D44A6"/>
    <w:rsid w:val="1DA41B4D"/>
    <w:rsid w:val="1DB16CB7"/>
    <w:rsid w:val="1DB44B00"/>
    <w:rsid w:val="1E0518BF"/>
    <w:rsid w:val="1E1B0D07"/>
    <w:rsid w:val="1E291CB1"/>
    <w:rsid w:val="1E4A3D55"/>
    <w:rsid w:val="1E5666BC"/>
    <w:rsid w:val="1E5B61CE"/>
    <w:rsid w:val="1E5E5E54"/>
    <w:rsid w:val="1E681817"/>
    <w:rsid w:val="1E7A71C5"/>
    <w:rsid w:val="1E8E66E0"/>
    <w:rsid w:val="1E9221AB"/>
    <w:rsid w:val="1EA047BC"/>
    <w:rsid w:val="1EBB2818"/>
    <w:rsid w:val="1EC0192D"/>
    <w:rsid w:val="1EC229DA"/>
    <w:rsid w:val="1EDF04F7"/>
    <w:rsid w:val="1EF65495"/>
    <w:rsid w:val="1F061FBA"/>
    <w:rsid w:val="1F1B770B"/>
    <w:rsid w:val="1F487020"/>
    <w:rsid w:val="1F4F55F2"/>
    <w:rsid w:val="1F9901C9"/>
    <w:rsid w:val="1FA02DB3"/>
    <w:rsid w:val="1FBC6C72"/>
    <w:rsid w:val="1FBE463A"/>
    <w:rsid w:val="1FC04E81"/>
    <w:rsid w:val="1FF42BFE"/>
    <w:rsid w:val="20540125"/>
    <w:rsid w:val="209242DC"/>
    <w:rsid w:val="20A025BE"/>
    <w:rsid w:val="20B1105B"/>
    <w:rsid w:val="2113044C"/>
    <w:rsid w:val="213D7499"/>
    <w:rsid w:val="214B6772"/>
    <w:rsid w:val="21B933B2"/>
    <w:rsid w:val="21CD3B8E"/>
    <w:rsid w:val="21EE12A0"/>
    <w:rsid w:val="22101B3F"/>
    <w:rsid w:val="221A75AF"/>
    <w:rsid w:val="22367C82"/>
    <w:rsid w:val="227320A1"/>
    <w:rsid w:val="22B943FC"/>
    <w:rsid w:val="22C5214C"/>
    <w:rsid w:val="22C7782D"/>
    <w:rsid w:val="22C81958"/>
    <w:rsid w:val="22CD57CE"/>
    <w:rsid w:val="22F637B7"/>
    <w:rsid w:val="23050580"/>
    <w:rsid w:val="23091C5D"/>
    <w:rsid w:val="231C32E1"/>
    <w:rsid w:val="231F4FD5"/>
    <w:rsid w:val="23201794"/>
    <w:rsid w:val="23424234"/>
    <w:rsid w:val="23843ED7"/>
    <w:rsid w:val="23A1503B"/>
    <w:rsid w:val="23AC754F"/>
    <w:rsid w:val="23E16B40"/>
    <w:rsid w:val="245A2A83"/>
    <w:rsid w:val="247D6F9B"/>
    <w:rsid w:val="24A67167"/>
    <w:rsid w:val="24CC4556"/>
    <w:rsid w:val="24DD46C7"/>
    <w:rsid w:val="24E03655"/>
    <w:rsid w:val="250F0BC4"/>
    <w:rsid w:val="25262F8B"/>
    <w:rsid w:val="25304AAE"/>
    <w:rsid w:val="25741990"/>
    <w:rsid w:val="257C5542"/>
    <w:rsid w:val="25C72DB2"/>
    <w:rsid w:val="25F272FE"/>
    <w:rsid w:val="25F45B2D"/>
    <w:rsid w:val="26490280"/>
    <w:rsid w:val="265C6D72"/>
    <w:rsid w:val="266C37A1"/>
    <w:rsid w:val="266E33D8"/>
    <w:rsid w:val="267D611A"/>
    <w:rsid w:val="26A149BA"/>
    <w:rsid w:val="26A41A16"/>
    <w:rsid w:val="26F45699"/>
    <w:rsid w:val="27141995"/>
    <w:rsid w:val="272A1388"/>
    <w:rsid w:val="27377971"/>
    <w:rsid w:val="2757536D"/>
    <w:rsid w:val="279008FF"/>
    <w:rsid w:val="27DD67E4"/>
    <w:rsid w:val="27E014F2"/>
    <w:rsid w:val="28034C6D"/>
    <w:rsid w:val="28535E49"/>
    <w:rsid w:val="28844573"/>
    <w:rsid w:val="28914E7B"/>
    <w:rsid w:val="289E72B4"/>
    <w:rsid w:val="28D10134"/>
    <w:rsid w:val="28EC641F"/>
    <w:rsid w:val="29104600"/>
    <w:rsid w:val="29186B29"/>
    <w:rsid w:val="293F7288"/>
    <w:rsid w:val="29733D0B"/>
    <w:rsid w:val="29940B64"/>
    <w:rsid w:val="299C21E5"/>
    <w:rsid w:val="29B9024C"/>
    <w:rsid w:val="29D105E6"/>
    <w:rsid w:val="29E205CE"/>
    <w:rsid w:val="29EC44F0"/>
    <w:rsid w:val="29FC62DC"/>
    <w:rsid w:val="2A43596F"/>
    <w:rsid w:val="2A7725E1"/>
    <w:rsid w:val="2A8E7A3C"/>
    <w:rsid w:val="2A9B69DA"/>
    <w:rsid w:val="2A9D0EE0"/>
    <w:rsid w:val="2ACE4405"/>
    <w:rsid w:val="2AEF4E4D"/>
    <w:rsid w:val="2B0E7BE1"/>
    <w:rsid w:val="2B1B0F81"/>
    <w:rsid w:val="2B8B40D5"/>
    <w:rsid w:val="2B9167CC"/>
    <w:rsid w:val="2B9D584D"/>
    <w:rsid w:val="2BB936E3"/>
    <w:rsid w:val="2BC62685"/>
    <w:rsid w:val="2C020234"/>
    <w:rsid w:val="2C2C3A8A"/>
    <w:rsid w:val="2C4F0C68"/>
    <w:rsid w:val="2C647DDE"/>
    <w:rsid w:val="2C827E19"/>
    <w:rsid w:val="2CD27F4F"/>
    <w:rsid w:val="2CE052A8"/>
    <w:rsid w:val="2CE16075"/>
    <w:rsid w:val="2CEB2574"/>
    <w:rsid w:val="2D4B586F"/>
    <w:rsid w:val="2D734C4B"/>
    <w:rsid w:val="2D8336C6"/>
    <w:rsid w:val="2D834CF1"/>
    <w:rsid w:val="2DD073AB"/>
    <w:rsid w:val="2DE370E7"/>
    <w:rsid w:val="2E13018E"/>
    <w:rsid w:val="2E16660C"/>
    <w:rsid w:val="2E222490"/>
    <w:rsid w:val="2E3C463C"/>
    <w:rsid w:val="2E3C5632"/>
    <w:rsid w:val="2E401378"/>
    <w:rsid w:val="2E424EF4"/>
    <w:rsid w:val="2E5A3FA4"/>
    <w:rsid w:val="2E930505"/>
    <w:rsid w:val="2EB72FAC"/>
    <w:rsid w:val="2EC27308"/>
    <w:rsid w:val="2F1B16FF"/>
    <w:rsid w:val="2F350375"/>
    <w:rsid w:val="2F37483F"/>
    <w:rsid w:val="2F386C4C"/>
    <w:rsid w:val="2F3D1FE5"/>
    <w:rsid w:val="2F411926"/>
    <w:rsid w:val="2F4E7418"/>
    <w:rsid w:val="2FC574B4"/>
    <w:rsid w:val="2FF629D2"/>
    <w:rsid w:val="300C38DC"/>
    <w:rsid w:val="301261A4"/>
    <w:rsid w:val="30297FAB"/>
    <w:rsid w:val="305D382D"/>
    <w:rsid w:val="309C68FD"/>
    <w:rsid w:val="30B567A2"/>
    <w:rsid w:val="31176B48"/>
    <w:rsid w:val="31397216"/>
    <w:rsid w:val="31461977"/>
    <w:rsid w:val="316D59F6"/>
    <w:rsid w:val="319C2711"/>
    <w:rsid w:val="31A4447F"/>
    <w:rsid w:val="31AA318C"/>
    <w:rsid w:val="31C72F3F"/>
    <w:rsid w:val="31C829EF"/>
    <w:rsid w:val="31E44FC4"/>
    <w:rsid w:val="32005BF6"/>
    <w:rsid w:val="32533D1B"/>
    <w:rsid w:val="328B38A3"/>
    <w:rsid w:val="32A72EAE"/>
    <w:rsid w:val="32D30FF7"/>
    <w:rsid w:val="32F6144E"/>
    <w:rsid w:val="32F83E10"/>
    <w:rsid w:val="32FB1460"/>
    <w:rsid w:val="33230AD1"/>
    <w:rsid w:val="33356159"/>
    <w:rsid w:val="3343662A"/>
    <w:rsid w:val="33BD63D7"/>
    <w:rsid w:val="33CF61AA"/>
    <w:rsid w:val="33E469A3"/>
    <w:rsid w:val="33EB65E5"/>
    <w:rsid w:val="33F679EF"/>
    <w:rsid w:val="342B36A2"/>
    <w:rsid w:val="343C4E51"/>
    <w:rsid w:val="345F5D4E"/>
    <w:rsid w:val="34872978"/>
    <w:rsid w:val="349F45F2"/>
    <w:rsid w:val="34B44AF8"/>
    <w:rsid w:val="34C82042"/>
    <w:rsid w:val="34E73CEE"/>
    <w:rsid w:val="34F86C9B"/>
    <w:rsid w:val="3505444F"/>
    <w:rsid w:val="351759D1"/>
    <w:rsid w:val="352907F3"/>
    <w:rsid w:val="35395D3E"/>
    <w:rsid w:val="35660444"/>
    <w:rsid w:val="356844D0"/>
    <w:rsid w:val="35A02188"/>
    <w:rsid w:val="35A77304"/>
    <w:rsid w:val="35A81EA3"/>
    <w:rsid w:val="35AC2374"/>
    <w:rsid w:val="35BF4E3C"/>
    <w:rsid w:val="35F73A9C"/>
    <w:rsid w:val="361502FC"/>
    <w:rsid w:val="36414BEC"/>
    <w:rsid w:val="366C4B1A"/>
    <w:rsid w:val="36784B89"/>
    <w:rsid w:val="36AB57E4"/>
    <w:rsid w:val="372B64FB"/>
    <w:rsid w:val="37400A63"/>
    <w:rsid w:val="374E5F67"/>
    <w:rsid w:val="377C07DE"/>
    <w:rsid w:val="37F004AD"/>
    <w:rsid w:val="37F87131"/>
    <w:rsid w:val="383A3253"/>
    <w:rsid w:val="38490CE7"/>
    <w:rsid w:val="38602259"/>
    <w:rsid w:val="389953B5"/>
    <w:rsid w:val="38B40228"/>
    <w:rsid w:val="38B5651C"/>
    <w:rsid w:val="38E360A9"/>
    <w:rsid w:val="38F70B20"/>
    <w:rsid w:val="391807A2"/>
    <w:rsid w:val="39393375"/>
    <w:rsid w:val="393D3264"/>
    <w:rsid w:val="394F7815"/>
    <w:rsid w:val="39525D71"/>
    <w:rsid w:val="3959640E"/>
    <w:rsid w:val="39A029FF"/>
    <w:rsid w:val="39E1538A"/>
    <w:rsid w:val="3A0A55DD"/>
    <w:rsid w:val="3A0F31FD"/>
    <w:rsid w:val="3A165F76"/>
    <w:rsid w:val="3A396CF4"/>
    <w:rsid w:val="3A3B17EE"/>
    <w:rsid w:val="3A3E4C9B"/>
    <w:rsid w:val="3A3F27A3"/>
    <w:rsid w:val="3A4D50C7"/>
    <w:rsid w:val="3A5F274A"/>
    <w:rsid w:val="3A6F6E31"/>
    <w:rsid w:val="3A81570F"/>
    <w:rsid w:val="3A8D72B7"/>
    <w:rsid w:val="3AC84898"/>
    <w:rsid w:val="3ACC6CA0"/>
    <w:rsid w:val="3B3A62C5"/>
    <w:rsid w:val="3B77004F"/>
    <w:rsid w:val="3BC51637"/>
    <w:rsid w:val="3BE66F4C"/>
    <w:rsid w:val="3C072DE6"/>
    <w:rsid w:val="3C3A66FD"/>
    <w:rsid w:val="3C53296E"/>
    <w:rsid w:val="3C8A139A"/>
    <w:rsid w:val="3C9C1587"/>
    <w:rsid w:val="3CB32E26"/>
    <w:rsid w:val="3CB7061B"/>
    <w:rsid w:val="3CB82FDB"/>
    <w:rsid w:val="3CBD3218"/>
    <w:rsid w:val="3CDE4B33"/>
    <w:rsid w:val="3D10109F"/>
    <w:rsid w:val="3D4A3E96"/>
    <w:rsid w:val="3D4F3E38"/>
    <w:rsid w:val="3D8B6FFD"/>
    <w:rsid w:val="3DA250F7"/>
    <w:rsid w:val="3DA908AC"/>
    <w:rsid w:val="3DDD79ED"/>
    <w:rsid w:val="3E27302C"/>
    <w:rsid w:val="3E2F70CC"/>
    <w:rsid w:val="3E3A692D"/>
    <w:rsid w:val="3E420C47"/>
    <w:rsid w:val="3E6F2975"/>
    <w:rsid w:val="3E9A782C"/>
    <w:rsid w:val="3EB0223D"/>
    <w:rsid w:val="3EBF3C46"/>
    <w:rsid w:val="3F237112"/>
    <w:rsid w:val="3F373E7D"/>
    <w:rsid w:val="3F434EB8"/>
    <w:rsid w:val="3F684DD9"/>
    <w:rsid w:val="3F6E209B"/>
    <w:rsid w:val="3F7F08CE"/>
    <w:rsid w:val="3F810ED0"/>
    <w:rsid w:val="3F813E5C"/>
    <w:rsid w:val="3F815EF8"/>
    <w:rsid w:val="3F9A7A82"/>
    <w:rsid w:val="3FAF7CCF"/>
    <w:rsid w:val="3FB604EA"/>
    <w:rsid w:val="40065FE5"/>
    <w:rsid w:val="40176A3D"/>
    <w:rsid w:val="4018209F"/>
    <w:rsid w:val="40646ADD"/>
    <w:rsid w:val="40910750"/>
    <w:rsid w:val="40A770B1"/>
    <w:rsid w:val="40DB5545"/>
    <w:rsid w:val="40E50D66"/>
    <w:rsid w:val="40EB12AC"/>
    <w:rsid w:val="40EB2F89"/>
    <w:rsid w:val="417C1E33"/>
    <w:rsid w:val="41937A9B"/>
    <w:rsid w:val="41A31ADD"/>
    <w:rsid w:val="41DC5957"/>
    <w:rsid w:val="41F30BCE"/>
    <w:rsid w:val="41F63DDF"/>
    <w:rsid w:val="42106296"/>
    <w:rsid w:val="424C5510"/>
    <w:rsid w:val="42551786"/>
    <w:rsid w:val="42665F2F"/>
    <w:rsid w:val="428C61DE"/>
    <w:rsid w:val="42984A4B"/>
    <w:rsid w:val="42A212EC"/>
    <w:rsid w:val="42B26B98"/>
    <w:rsid w:val="42B57445"/>
    <w:rsid w:val="42FA74B4"/>
    <w:rsid w:val="43187777"/>
    <w:rsid w:val="4330103A"/>
    <w:rsid w:val="43395887"/>
    <w:rsid w:val="4346094B"/>
    <w:rsid w:val="434E1440"/>
    <w:rsid w:val="43A554F0"/>
    <w:rsid w:val="43C53E24"/>
    <w:rsid w:val="43E70869"/>
    <w:rsid w:val="441A4DF4"/>
    <w:rsid w:val="442B0CE8"/>
    <w:rsid w:val="44425792"/>
    <w:rsid w:val="448D54A9"/>
    <w:rsid w:val="44BC0BF0"/>
    <w:rsid w:val="44C055CE"/>
    <w:rsid w:val="44D975AB"/>
    <w:rsid w:val="453525F1"/>
    <w:rsid w:val="453B00A8"/>
    <w:rsid w:val="459E7932"/>
    <w:rsid w:val="45B0675F"/>
    <w:rsid w:val="45B150F6"/>
    <w:rsid w:val="45CB5B8F"/>
    <w:rsid w:val="45D93CA8"/>
    <w:rsid w:val="460D70AE"/>
    <w:rsid w:val="46196F51"/>
    <w:rsid w:val="4690689C"/>
    <w:rsid w:val="469C5DD0"/>
    <w:rsid w:val="46A0184F"/>
    <w:rsid w:val="46B1257F"/>
    <w:rsid w:val="46BB4ECC"/>
    <w:rsid w:val="46CF3282"/>
    <w:rsid w:val="46EB5E14"/>
    <w:rsid w:val="46F968D1"/>
    <w:rsid w:val="470A5B5B"/>
    <w:rsid w:val="471940BC"/>
    <w:rsid w:val="473E5079"/>
    <w:rsid w:val="4758380E"/>
    <w:rsid w:val="475B6F77"/>
    <w:rsid w:val="478A1E38"/>
    <w:rsid w:val="47AC55AF"/>
    <w:rsid w:val="47AC6EB4"/>
    <w:rsid w:val="47B02837"/>
    <w:rsid w:val="47BC535F"/>
    <w:rsid w:val="47E53FCE"/>
    <w:rsid w:val="47E726FC"/>
    <w:rsid w:val="48012930"/>
    <w:rsid w:val="484D5677"/>
    <w:rsid w:val="485C60AD"/>
    <w:rsid w:val="488147B0"/>
    <w:rsid w:val="48D662CD"/>
    <w:rsid w:val="48DF31E8"/>
    <w:rsid w:val="48EE6A69"/>
    <w:rsid w:val="49055F38"/>
    <w:rsid w:val="492D6BFF"/>
    <w:rsid w:val="495B7C5F"/>
    <w:rsid w:val="498A00E6"/>
    <w:rsid w:val="49901E45"/>
    <w:rsid w:val="49A62143"/>
    <w:rsid w:val="49C12A19"/>
    <w:rsid w:val="49E1256C"/>
    <w:rsid w:val="4A0158AB"/>
    <w:rsid w:val="4A513E5D"/>
    <w:rsid w:val="4A5A03D8"/>
    <w:rsid w:val="4A8A356C"/>
    <w:rsid w:val="4AD87175"/>
    <w:rsid w:val="4AE4391A"/>
    <w:rsid w:val="4B070CBD"/>
    <w:rsid w:val="4B083C68"/>
    <w:rsid w:val="4B154A3F"/>
    <w:rsid w:val="4B995060"/>
    <w:rsid w:val="4BC95A10"/>
    <w:rsid w:val="4BCF5968"/>
    <w:rsid w:val="4C0237CC"/>
    <w:rsid w:val="4C0B1861"/>
    <w:rsid w:val="4C743EFA"/>
    <w:rsid w:val="4C815D36"/>
    <w:rsid w:val="4C817701"/>
    <w:rsid w:val="4CA14872"/>
    <w:rsid w:val="4CB354A2"/>
    <w:rsid w:val="4CB7380B"/>
    <w:rsid w:val="4CBB0EAB"/>
    <w:rsid w:val="4D056C28"/>
    <w:rsid w:val="4D0D49BD"/>
    <w:rsid w:val="4D1C4350"/>
    <w:rsid w:val="4D24422D"/>
    <w:rsid w:val="4D3F130B"/>
    <w:rsid w:val="4D517552"/>
    <w:rsid w:val="4D53613A"/>
    <w:rsid w:val="4D6420F9"/>
    <w:rsid w:val="4D7A53D0"/>
    <w:rsid w:val="4DC64044"/>
    <w:rsid w:val="4DDA060D"/>
    <w:rsid w:val="4DFC3EB0"/>
    <w:rsid w:val="4E072147"/>
    <w:rsid w:val="4E0A08ED"/>
    <w:rsid w:val="4E4C3FF5"/>
    <w:rsid w:val="4E5D0371"/>
    <w:rsid w:val="4E667959"/>
    <w:rsid w:val="4E6E2FB3"/>
    <w:rsid w:val="4E933C76"/>
    <w:rsid w:val="4EE607EA"/>
    <w:rsid w:val="4EE638AE"/>
    <w:rsid w:val="4EF301D8"/>
    <w:rsid w:val="4EF672E7"/>
    <w:rsid w:val="4F1B0129"/>
    <w:rsid w:val="4F4D79CC"/>
    <w:rsid w:val="4F82652A"/>
    <w:rsid w:val="4F901BA8"/>
    <w:rsid w:val="4F963E89"/>
    <w:rsid w:val="4FD64825"/>
    <w:rsid w:val="4FFB4765"/>
    <w:rsid w:val="5014349D"/>
    <w:rsid w:val="5014706D"/>
    <w:rsid w:val="502025E6"/>
    <w:rsid w:val="502476DC"/>
    <w:rsid w:val="504A0952"/>
    <w:rsid w:val="507008AF"/>
    <w:rsid w:val="50851C93"/>
    <w:rsid w:val="50950DD9"/>
    <w:rsid w:val="50D25EEE"/>
    <w:rsid w:val="5107554C"/>
    <w:rsid w:val="51212155"/>
    <w:rsid w:val="513C1A1F"/>
    <w:rsid w:val="514518E6"/>
    <w:rsid w:val="51501919"/>
    <w:rsid w:val="518B78B4"/>
    <w:rsid w:val="51B1140D"/>
    <w:rsid w:val="51C92E73"/>
    <w:rsid w:val="51E60BEB"/>
    <w:rsid w:val="521E5413"/>
    <w:rsid w:val="52415AD6"/>
    <w:rsid w:val="52701091"/>
    <w:rsid w:val="527E1EA5"/>
    <w:rsid w:val="528674A1"/>
    <w:rsid w:val="52AF36B5"/>
    <w:rsid w:val="52D4479A"/>
    <w:rsid w:val="53001618"/>
    <w:rsid w:val="531B6DDB"/>
    <w:rsid w:val="53511D59"/>
    <w:rsid w:val="53605651"/>
    <w:rsid w:val="53731A9B"/>
    <w:rsid w:val="537D63EE"/>
    <w:rsid w:val="53953C69"/>
    <w:rsid w:val="53A60CDB"/>
    <w:rsid w:val="53CB479B"/>
    <w:rsid w:val="53D715BB"/>
    <w:rsid w:val="53E87E15"/>
    <w:rsid w:val="53E977FC"/>
    <w:rsid w:val="540467F2"/>
    <w:rsid w:val="54225FC1"/>
    <w:rsid w:val="54375D0E"/>
    <w:rsid w:val="54B902A4"/>
    <w:rsid w:val="54D34DE8"/>
    <w:rsid w:val="5512068D"/>
    <w:rsid w:val="553B2BB7"/>
    <w:rsid w:val="556D12B9"/>
    <w:rsid w:val="557E369A"/>
    <w:rsid w:val="55891B3A"/>
    <w:rsid w:val="558D360F"/>
    <w:rsid w:val="558F1032"/>
    <w:rsid w:val="559B68D4"/>
    <w:rsid w:val="55A94983"/>
    <w:rsid w:val="55BD7865"/>
    <w:rsid w:val="56190743"/>
    <w:rsid w:val="5648205B"/>
    <w:rsid w:val="56542F0C"/>
    <w:rsid w:val="565B4FE8"/>
    <w:rsid w:val="56651783"/>
    <w:rsid w:val="56BB0F54"/>
    <w:rsid w:val="56BE7E46"/>
    <w:rsid w:val="56D07F03"/>
    <w:rsid w:val="56E32770"/>
    <w:rsid w:val="56F075EA"/>
    <w:rsid w:val="56F1140F"/>
    <w:rsid w:val="572440AE"/>
    <w:rsid w:val="572E3736"/>
    <w:rsid w:val="573B211D"/>
    <w:rsid w:val="577F3570"/>
    <w:rsid w:val="57D7204A"/>
    <w:rsid w:val="57D870DB"/>
    <w:rsid w:val="57F343E7"/>
    <w:rsid w:val="580425B8"/>
    <w:rsid w:val="580850CD"/>
    <w:rsid w:val="584A712C"/>
    <w:rsid w:val="58525AB4"/>
    <w:rsid w:val="585674FC"/>
    <w:rsid w:val="5867048E"/>
    <w:rsid w:val="58682DFB"/>
    <w:rsid w:val="587375E2"/>
    <w:rsid w:val="58877AA0"/>
    <w:rsid w:val="58886BA9"/>
    <w:rsid w:val="58900008"/>
    <w:rsid w:val="589E494D"/>
    <w:rsid w:val="58A92C67"/>
    <w:rsid w:val="59142C25"/>
    <w:rsid w:val="592105FD"/>
    <w:rsid w:val="59396B30"/>
    <w:rsid w:val="594D6CC3"/>
    <w:rsid w:val="59616D63"/>
    <w:rsid w:val="599B5B29"/>
    <w:rsid w:val="59DF5075"/>
    <w:rsid w:val="5A297764"/>
    <w:rsid w:val="5A647C5A"/>
    <w:rsid w:val="5A831185"/>
    <w:rsid w:val="5AB8516C"/>
    <w:rsid w:val="5AE445AB"/>
    <w:rsid w:val="5AEA0208"/>
    <w:rsid w:val="5AFB52E2"/>
    <w:rsid w:val="5B383812"/>
    <w:rsid w:val="5B401ECF"/>
    <w:rsid w:val="5B473CC1"/>
    <w:rsid w:val="5B6246DD"/>
    <w:rsid w:val="5B8312DA"/>
    <w:rsid w:val="5B831843"/>
    <w:rsid w:val="5B9A03B3"/>
    <w:rsid w:val="5BFE5E0F"/>
    <w:rsid w:val="5C0321B3"/>
    <w:rsid w:val="5C20631D"/>
    <w:rsid w:val="5C8C1A67"/>
    <w:rsid w:val="5CEE7C31"/>
    <w:rsid w:val="5CEF7CAD"/>
    <w:rsid w:val="5CF22865"/>
    <w:rsid w:val="5D0E6EEA"/>
    <w:rsid w:val="5D10530F"/>
    <w:rsid w:val="5D144BCD"/>
    <w:rsid w:val="5D257BA3"/>
    <w:rsid w:val="5D480716"/>
    <w:rsid w:val="5D684BE6"/>
    <w:rsid w:val="5D6E373F"/>
    <w:rsid w:val="5D752FCB"/>
    <w:rsid w:val="5D7C797D"/>
    <w:rsid w:val="5D932813"/>
    <w:rsid w:val="5D9A50C1"/>
    <w:rsid w:val="5DCD6869"/>
    <w:rsid w:val="5E1E4546"/>
    <w:rsid w:val="5E2969D1"/>
    <w:rsid w:val="5E532442"/>
    <w:rsid w:val="5E96326C"/>
    <w:rsid w:val="5EA77160"/>
    <w:rsid w:val="5EBF795B"/>
    <w:rsid w:val="5EFF5C69"/>
    <w:rsid w:val="5F1A4416"/>
    <w:rsid w:val="5F3C0EC1"/>
    <w:rsid w:val="5F4E63E7"/>
    <w:rsid w:val="5F7535EE"/>
    <w:rsid w:val="5F820FDC"/>
    <w:rsid w:val="5F8F7BD4"/>
    <w:rsid w:val="5F9363DF"/>
    <w:rsid w:val="5F9B25DB"/>
    <w:rsid w:val="5FA62F75"/>
    <w:rsid w:val="5FAB70B0"/>
    <w:rsid w:val="5FE77D96"/>
    <w:rsid w:val="604F30F3"/>
    <w:rsid w:val="60866647"/>
    <w:rsid w:val="60F05E02"/>
    <w:rsid w:val="6107504F"/>
    <w:rsid w:val="6133444E"/>
    <w:rsid w:val="613B6F5F"/>
    <w:rsid w:val="61504E51"/>
    <w:rsid w:val="618A4A69"/>
    <w:rsid w:val="61AF31B0"/>
    <w:rsid w:val="61B942D8"/>
    <w:rsid w:val="61C45B20"/>
    <w:rsid w:val="61F110E7"/>
    <w:rsid w:val="61F40BD2"/>
    <w:rsid w:val="62075F26"/>
    <w:rsid w:val="623B47DB"/>
    <w:rsid w:val="6266099C"/>
    <w:rsid w:val="62667FC1"/>
    <w:rsid w:val="62876006"/>
    <w:rsid w:val="62C00D6F"/>
    <w:rsid w:val="62E33B31"/>
    <w:rsid w:val="62EF299A"/>
    <w:rsid w:val="62F43A6D"/>
    <w:rsid w:val="630661B3"/>
    <w:rsid w:val="6347009B"/>
    <w:rsid w:val="63656E0E"/>
    <w:rsid w:val="638E6CE1"/>
    <w:rsid w:val="63981C07"/>
    <w:rsid w:val="63A23F50"/>
    <w:rsid w:val="63B6173E"/>
    <w:rsid w:val="63D52F45"/>
    <w:rsid w:val="63DE6203"/>
    <w:rsid w:val="63EF138D"/>
    <w:rsid w:val="63FA2F37"/>
    <w:rsid w:val="64006A79"/>
    <w:rsid w:val="64573D39"/>
    <w:rsid w:val="64967C69"/>
    <w:rsid w:val="64AC56BA"/>
    <w:rsid w:val="64DC7651"/>
    <w:rsid w:val="64E71FCB"/>
    <w:rsid w:val="64EF53D8"/>
    <w:rsid w:val="65310FAA"/>
    <w:rsid w:val="6531299D"/>
    <w:rsid w:val="6532732D"/>
    <w:rsid w:val="654801E3"/>
    <w:rsid w:val="65714C93"/>
    <w:rsid w:val="65794C5E"/>
    <w:rsid w:val="658D2222"/>
    <w:rsid w:val="659D1EF3"/>
    <w:rsid w:val="65D85FE6"/>
    <w:rsid w:val="660369D4"/>
    <w:rsid w:val="66093DFB"/>
    <w:rsid w:val="660D6EAA"/>
    <w:rsid w:val="661269DB"/>
    <w:rsid w:val="66325478"/>
    <w:rsid w:val="663E7768"/>
    <w:rsid w:val="66477BB4"/>
    <w:rsid w:val="667F40CD"/>
    <w:rsid w:val="66823C75"/>
    <w:rsid w:val="66915BEB"/>
    <w:rsid w:val="671147B9"/>
    <w:rsid w:val="672030DD"/>
    <w:rsid w:val="6732232C"/>
    <w:rsid w:val="674A2D1E"/>
    <w:rsid w:val="67602C74"/>
    <w:rsid w:val="677828DA"/>
    <w:rsid w:val="677D3ED9"/>
    <w:rsid w:val="67825DB1"/>
    <w:rsid w:val="67851192"/>
    <w:rsid w:val="679C71E6"/>
    <w:rsid w:val="67D70E8D"/>
    <w:rsid w:val="67E90A6E"/>
    <w:rsid w:val="68003BE5"/>
    <w:rsid w:val="68130B1B"/>
    <w:rsid w:val="684302F8"/>
    <w:rsid w:val="6861386B"/>
    <w:rsid w:val="6873343A"/>
    <w:rsid w:val="68735E6C"/>
    <w:rsid w:val="687F21F2"/>
    <w:rsid w:val="689F0B5F"/>
    <w:rsid w:val="68B310FE"/>
    <w:rsid w:val="68D46F15"/>
    <w:rsid w:val="690C1E85"/>
    <w:rsid w:val="690F1B59"/>
    <w:rsid w:val="69265C95"/>
    <w:rsid w:val="69274783"/>
    <w:rsid w:val="6953662E"/>
    <w:rsid w:val="699E7190"/>
    <w:rsid w:val="69D95470"/>
    <w:rsid w:val="69DB1026"/>
    <w:rsid w:val="6A106B60"/>
    <w:rsid w:val="6A393B21"/>
    <w:rsid w:val="6A412858"/>
    <w:rsid w:val="6A4252D5"/>
    <w:rsid w:val="6A4674EA"/>
    <w:rsid w:val="6A531810"/>
    <w:rsid w:val="6A57028D"/>
    <w:rsid w:val="6A9A2F9A"/>
    <w:rsid w:val="6A9A4F55"/>
    <w:rsid w:val="6AB13096"/>
    <w:rsid w:val="6ADA179F"/>
    <w:rsid w:val="6B0F1A5F"/>
    <w:rsid w:val="6B197BB6"/>
    <w:rsid w:val="6B1E3F62"/>
    <w:rsid w:val="6B4F7F05"/>
    <w:rsid w:val="6B537CC2"/>
    <w:rsid w:val="6BE24E05"/>
    <w:rsid w:val="6C1A459F"/>
    <w:rsid w:val="6C371CF2"/>
    <w:rsid w:val="6C471647"/>
    <w:rsid w:val="6C4B22F0"/>
    <w:rsid w:val="6CA1759F"/>
    <w:rsid w:val="6CB34788"/>
    <w:rsid w:val="6CDE3F88"/>
    <w:rsid w:val="6CE11207"/>
    <w:rsid w:val="6D1472DB"/>
    <w:rsid w:val="6D821149"/>
    <w:rsid w:val="6D887A52"/>
    <w:rsid w:val="6DE21016"/>
    <w:rsid w:val="6DFF51B8"/>
    <w:rsid w:val="6E1A1903"/>
    <w:rsid w:val="6E3659C8"/>
    <w:rsid w:val="6E4043E3"/>
    <w:rsid w:val="6E7361E8"/>
    <w:rsid w:val="6E7D691D"/>
    <w:rsid w:val="6E802072"/>
    <w:rsid w:val="6EE35676"/>
    <w:rsid w:val="6F0135F3"/>
    <w:rsid w:val="6F180782"/>
    <w:rsid w:val="6F1D3A2C"/>
    <w:rsid w:val="6F2E378A"/>
    <w:rsid w:val="6F32297D"/>
    <w:rsid w:val="6F6C2EE1"/>
    <w:rsid w:val="6F7A0519"/>
    <w:rsid w:val="6F901299"/>
    <w:rsid w:val="6F9E4C9D"/>
    <w:rsid w:val="6FDF7B7E"/>
    <w:rsid w:val="6FF207C1"/>
    <w:rsid w:val="6FF360CD"/>
    <w:rsid w:val="705C2742"/>
    <w:rsid w:val="706F21DE"/>
    <w:rsid w:val="70C12B92"/>
    <w:rsid w:val="70D05CB5"/>
    <w:rsid w:val="70D27B3E"/>
    <w:rsid w:val="70FD1882"/>
    <w:rsid w:val="710D73D7"/>
    <w:rsid w:val="713A16B1"/>
    <w:rsid w:val="713D73D9"/>
    <w:rsid w:val="714473BC"/>
    <w:rsid w:val="717C6145"/>
    <w:rsid w:val="71967A9E"/>
    <w:rsid w:val="71BC18DB"/>
    <w:rsid w:val="71E04318"/>
    <w:rsid w:val="71E94FF6"/>
    <w:rsid w:val="71EC2D17"/>
    <w:rsid w:val="71F17B50"/>
    <w:rsid w:val="71F60F20"/>
    <w:rsid w:val="720718B8"/>
    <w:rsid w:val="72544B66"/>
    <w:rsid w:val="727C55A8"/>
    <w:rsid w:val="728343E8"/>
    <w:rsid w:val="729E5BBB"/>
    <w:rsid w:val="72B4247F"/>
    <w:rsid w:val="72C8578B"/>
    <w:rsid w:val="72F37026"/>
    <w:rsid w:val="73110805"/>
    <w:rsid w:val="731D4367"/>
    <w:rsid w:val="737116D3"/>
    <w:rsid w:val="73774887"/>
    <w:rsid w:val="737B3816"/>
    <w:rsid w:val="73837890"/>
    <w:rsid w:val="74566413"/>
    <w:rsid w:val="74600AC6"/>
    <w:rsid w:val="74651249"/>
    <w:rsid w:val="74A25A45"/>
    <w:rsid w:val="74B80D20"/>
    <w:rsid w:val="74C33BC8"/>
    <w:rsid w:val="74CC227C"/>
    <w:rsid w:val="74F139B2"/>
    <w:rsid w:val="75030B12"/>
    <w:rsid w:val="750E7B01"/>
    <w:rsid w:val="7516336F"/>
    <w:rsid w:val="752B3379"/>
    <w:rsid w:val="75521F96"/>
    <w:rsid w:val="75633361"/>
    <w:rsid w:val="756F2C3D"/>
    <w:rsid w:val="757B1670"/>
    <w:rsid w:val="7592597E"/>
    <w:rsid w:val="75AE6ED1"/>
    <w:rsid w:val="75EB60DE"/>
    <w:rsid w:val="7673437C"/>
    <w:rsid w:val="76795076"/>
    <w:rsid w:val="768533DE"/>
    <w:rsid w:val="76D36B17"/>
    <w:rsid w:val="77055565"/>
    <w:rsid w:val="771C566F"/>
    <w:rsid w:val="77647B19"/>
    <w:rsid w:val="777D120E"/>
    <w:rsid w:val="77811AF8"/>
    <w:rsid w:val="779C5C57"/>
    <w:rsid w:val="77A167AD"/>
    <w:rsid w:val="77AA7C99"/>
    <w:rsid w:val="77BC788F"/>
    <w:rsid w:val="77FA2065"/>
    <w:rsid w:val="77FD6BB9"/>
    <w:rsid w:val="781424F0"/>
    <w:rsid w:val="78182608"/>
    <w:rsid w:val="781C51B7"/>
    <w:rsid w:val="783052B3"/>
    <w:rsid w:val="784020A9"/>
    <w:rsid w:val="784D7151"/>
    <w:rsid w:val="784FA864"/>
    <w:rsid w:val="78637AE1"/>
    <w:rsid w:val="786B0F24"/>
    <w:rsid w:val="78D6156B"/>
    <w:rsid w:val="78E96B71"/>
    <w:rsid w:val="78ED6035"/>
    <w:rsid w:val="791549C7"/>
    <w:rsid w:val="794E78AC"/>
    <w:rsid w:val="795215A9"/>
    <w:rsid w:val="79596287"/>
    <w:rsid w:val="795A0C73"/>
    <w:rsid w:val="797A0E7B"/>
    <w:rsid w:val="79B80E05"/>
    <w:rsid w:val="79D20DE8"/>
    <w:rsid w:val="79D60D0C"/>
    <w:rsid w:val="79F609BB"/>
    <w:rsid w:val="7A523156"/>
    <w:rsid w:val="7A77294E"/>
    <w:rsid w:val="7A8756BC"/>
    <w:rsid w:val="7A935C1B"/>
    <w:rsid w:val="7AAB7B39"/>
    <w:rsid w:val="7AD0041F"/>
    <w:rsid w:val="7B006A44"/>
    <w:rsid w:val="7B0576A1"/>
    <w:rsid w:val="7B09322B"/>
    <w:rsid w:val="7B0B2C45"/>
    <w:rsid w:val="7B2E5B8F"/>
    <w:rsid w:val="7B371A3C"/>
    <w:rsid w:val="7B5B603A"/>
    <w:rsid w:val="7B5F5404"/>
    <w:rsid w:val="7B8EAC83"/>
    <w:rsid w:val="7B97242A"/>
    <w:rsid w:val="7BDE21C9"/>
    <w:rsid w:val="7BE57A9C"/>
    <w:rsid w:val="7C157EBE"/>
    <w:rsid w:val="7C507DD5"/>
    <w:rsid w:val="7C5465A4"/>
    <w:rsid w:val="7C565A82"/>
    <w:rsid w:val="7C945CA8"/>
    <w:rsid w:val="7C980384"/>
    <w:rsid w:val="7CAB2B60"/>
    <w:rsid w:val="7D321311"/>
    <w:rsid w:val="7D510610"/>
    <w:rsid w:val="7D5646C2"/>
    <w:rsid w:val="7D8A528B"/>
    <w:rsid w:val="7DD242C1"/>
    <w:rsid w:val="7DE55CE3"/>
    <w:rsid w:val="7DE96DEE"/>
    <w:rsid w:val="7E0666BA"/>
    <w:rsid w:val="7E2165B8"/>
    <w:rsid w:val="7E2A6F72"/>
    <w:rsid w:val="7E346228"/>
    <w:rsid w:val="7E3F5803"/>
    <w:rsid w:val="7E5F7B5E"/>
    <w:rsid w:val="7E68242D"/>
    <w:rsid w:val="7EF961C8"/>
    <w:rsid w:val="7F123965"/>
    <w:rsid w:val="7F1B1E15"/>
    <w:rsid w:val="7F6E5EC2"/>
    <w:rsid w:val="7F8F1E10"/>
    <w:rsid w:val="7FAC0283"/>
    <w:rsid w:val="7FB9592D"/>
    <w:rsid w:val="7FC77774"/>
    <w:rsid w:val="7FC93EBA"/>
    <w:rsid w:val="7FD6754C"/>
    <w:rsid w:val="7FE26FB5"/>
    <w:rsid w:val="7FF364E1"/>
    <w:rsid w:val="CFFF50C1"/>
    <w:rsid w:val="DFFB44B6"/>
    <w:rsid w:val="F5FB64EA"/>
    <w:rsid w:val="FEFFF8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iPriority="99" w:semiHidden="0"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name="Document Map" w:locked="1"/>
    <w:lsdException w:qFormat="1" w:unhideWhenUsed="0" w:uiPriority="99" w:semiHidden="0"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00" w:firstLineChars="200"/>
      <w:jc w:val="both"/>
    </w:pPr>
    <w:rPr>
      <w:rFonts w:ascii="Times New Roman" w:hAnsi="Times New Roman" w:eastAsia="仿宋_GB2312" w:cs="Times New Roman"/>
      <w:kern w:val="2"/>
      <w:sz w:val="30"/>
      <w:szCs w:val="30"/>
      <w:lang w:val="en-US" w:eastAsia="zh-CN" w:bidi="ar-SA"/>
    </w:rPr>
  </w:style>
  <w:style w:type="paragraph" w:styleId="3">
    <w:name w:val="heading 1"/>
    <w:basedOn w:val="1"/>
    <w:next w:val="1"/>
    <w:link w:val="38"/>
    <w:qFormat/>
    <w:uiPriority w:val="99"/>
    <w:pPr>
      <w:keepNext/>
      <w:keepLines/>
      <w:spacing w:line="660" w:lineRule="exact"/>
      <w:ind w:firstLine="0" w:firstLineChars="0"/>
      <w:outlineLvl w:val="0"/>
    </w:pPr>
    <w:rPr>
      <w:rFonts w:ascii="黑体" w:hAnsi="黑体" w:eastAsia="黑体"/>
      <w:b/>
      <w:bCs/>
      <w:kern w:val="44"/>
      <w:sz w:val="32"/>
      <w:szCs w:val="32"/>
    </w:rPr>
  </w:style>
  <w:style w:type="paragraph" w:styleId="4">
    <w:name w:val="heading 2"/>
    <w:basedOn w:val="1"/>
    <w:next w:val="1"/>
    <w:link w:val="39"/>
    <w:qFormat/>
    <w:uiPriority w:val="99"/>
    <w:pPr>
      <w:keepNext/>
      <w:keepLines/>
      <w:spacing w:line="660" w:lineRule="exact"/>
      <w:ind w:firstLine="0" w:firstLineChars="0"/>
      <w:outlineLvl w:val="1"/>
    </w:pPr>
    <w:rPr>
      <w:rFonts w:ascii="楷体_GB2312" w:hAnsi="Calibri Light" w:eastAsia="楷体_GB2312"/>
      <w:b/>
      <w:bCs/>
      <w:sz w:val="32"/>
      <w:szCs w:val="32"/>
    </w:rPr>
  </w:style>
  <w:style w:type="paragraph" w:styleId="5">
    <w:name w:val="heading 3"/>
    <w:basedOn w:val="1"/>
    <w:next w:val="1"/>
    <w:link w:val="40"/>
    <w:qFormat/>
    <w:uiPriority w:val="99"/>
    <w:pPr>
      <w:keepNext/>
      <w:keepLines/>
      <w:spacing w:line="660" w:lineRule="exact"/>
      <w:ind w:firstLine="0" w:firstLineChars="0"/>
      <w:outlineLvl w:val="2"/>
    </w:pPr>
    <w:rPr>
      <w:rFonts w:ascii="仿宋_GB2312"/>
      <w:b/>
      <w:bCs/>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 w:type="paragraph" w:styleId="6">
    <w:name w:val="Normal Indent"/>
    <w:basedOn w:val="1"/>
    <w:qFormat/>
    <w:locked/>
    <w:uiPriority w:val="0"/>
    <w:pPr>
      <w:ind w:firstLine="420" w:firstLineChars="200"/>
    </w:pPr>
  </w:style>
  <w:style w:type="paragraph" w:styleId="7">
    <w:name w:val="caption"/>
    <w:basedOn w:val="1"/>
    <w:next w:val="1"/>
    <w:qFormat/>
    <w:uiPriority w:val="99"/>
    <w:rPr>
      <w:rFonts w:ascii="Calibri Light" w:hAnsi="Calibri Light" w:eastAsia="黑体"/>
      <w:sz w:val="20"/>
      <w:szCs w:val="20"/>
    </w:rPr>
  </w:style>
  <w:style w:type="paragraph" w:styleId="8">
    <w:name w:val="Document Map"/>
    <w:basedOn w:val="1"/>
    <w:link w:val="58"/>
    <w:semiHidden/>
    <w:unhideWhenUsed/>
    <w:qFormat/>
    <w:locked/>
    <w:uiPriority w:val="99"/>
    <w:rPr>
      <w:rFonts w:ascii="宋体" w:eastAsia="宋体"/>
      <w:sz w:val="18"/>
      <w:szCs w:val="18"/>
    </w:rPr>
  </w:style>
  <w:style w:type="paragraph" w:styleId="9">
    <w:name w:val="toa heading"/>
    <w:basedOn w:val="1"/>
    <w:next w:val="1"/>
    <w:link w:val="68"/>
    <w:semiHidden/>
    <w:unhideWhenUsed/>
    <w:qFormat/>
    <w:locked/>
    <w:uiPriority w:val="99"/>
    <w:pPr>
      <w:spacing w:before="120"/>
    </w:pPr>
    <w:rPr>
      <w:rFonts w:asciiTheme="majorHAnsi" w:hAnsiTheme="majorHAnsi" w:eastAsiaTheme="majorEastAsia" w:cstheme="majorBidi"/>
      <w:sz w:val="24"/>
      <w:szCs w:val="24"/>
    </w:rPr>
  </w:style>
  <w:style w:type="paragraph" w:styleId="10">
    <w:name w:val="annotation text"/>
    <w:basedOn w:val="1"/>
    <w:link w:val="41"/>
    <w:semiHidden/>
    <w:qFormat/>
    <w:uiPriority w:val="99"/>
    <w:pPr>
      <w:jc w:val="left"/>
    </w:pPr>
  </w:style>
  <w:style w:type="paragraph" w:styleId="11">
    <w:name w:val="Body Text"/>
    <w:basedOn w:val="1"/>
    <w:next w:val="12"/>
    <w:unhideWhenUsed/>
    <w:qFormat/>
    <w:locked/>
    <w:uiPriority w:val="99"/>
    <w:rPr>
      <w:rFonts w:eastAsia="楷体_GB2312"/>
      <w:szCs w:val="24"/>
    </w:rPr>
  </w:style>
  <w:style w:type="paragraph" w:customStyle="1" w:styleId="12">
    <w:name w:val="正文首行缩进1"/>
    <w:basedOn w:val="11"/>
    <w:next w:val="1"/>
    <w:qFormat/>
    <w:uiPriority w:val="0"/>
    <w:pPr>
      <w:ind w:firstLine="420" w:firstLineChars="100"/>
    </w:pPr>
  </w:style>
  <w:style w:type="paragraph" w:styleId="13">
    <w:name w:val="Body Text Indent"/>
    <w:basedOn w:val="1"/>
    <w:semiHidden/>
    <w:unhideWhenUsed/>
    <w:qFormat/>
    <w:locked/>
    <w:uiPriority w:val="99"/>
    <w:pPr>
      <w:spacing w:after="120"/>
      <w:ind w:left="420" w:leftChars="200"/>
    </w:pPr>
  </w:style>
  <w:style w:type="paragraph" w:styleId="14">
    <w:name w:val="Block Text"/>
    <w:basedOn w:val="1"/>
    <w:unhideWhenUsed/>
    <w:qFormat/>
    <w:locked/>
    <w:uiPriority w:val="99"/>
    <w:pPr>
      <w:spacing w:after="120"/>
      <w:ind w:left="1440" w:leftChars="700" w:right="1440" w:rightChars="700"/>
    </w:pPr>
  </w:style>
  <w:style w:type="paragraph" w:styleId="15">
    <w:name w:val="toc 3"/>
    <w:basedOn w:val="1"/>
    <w:next w:val="1"/>
    <w:qFormat/>
    <w:uiPriority w:val="39"/>
    <w:pPr>
      <w:ind w:left="840" w:leftChars="400"/>
    </w:pPr>
  </w:style>
  <w:style w:type="paragraph" w:styleId="16">
    <w:name w:val="Plain Text"/>
    <w:basedOn w:val="1"/>
    <w:link w:val="43"/>
    <w:qFormat/>
    <w:locked/>
    <w:uiPriority w:val="99"/>
    <w:pPr>
      <w:spacing w:line="240" w:lineRule="auto"/>
      <w:ind w:firstLine="0" w:firstLineChars="0"/>
    </w:pPr>
    <w:rPr>
      <w:rFonts w:ascii="宋体" w:hAnsi="Courier New" w:eastAsia="宋体"/>
      <w:sz w:val="21"/>
      <w:szCs w:val="20"/>
    </w:rPr>
  </w:style>
  <w:style w:type="paragraph" w:styleId="17">
    <w:name w:val="Balloon Text"/>
    <w:basedOn w:val="1"/>
    <w:link w:val="44"/>
    <w:semiHidden/>
    <w:qFormat/>
    <w:uiPriority w:val="99"/>
    <w:pPr>
      <w:spacing w:line="240" w:lineRule="auto"/>
    </w:pPr>
    <w:rPr>
      <w:sz w:val="18"/>
      <w:szCs w:val="18"/>
    </w:rPr>
  </w:style>
  <w:style w:type="paragraph" w:styleId="18">
    <w:name w:val="footer"/>
    <w:basedOn w:val="1"/>
    <w:link w:val="45"/>
    <w:qFormat/>
    <w:uiPriority w:val="99"/>
    <w:pPr>
      <w:tabs>
        <w:tab w:val="center" w:pos="4153"/>
        <w:tab w:val="right" w:pos="8306"/>
      </w:tabs>
      <w:snapToGrid w:val="0"/>
      <w:spacing w:line="240" w:lineRule="atLeast"/>
      <w:jc w:val="left"/>
    </w:pPr>
    <w:rPr>
      <w:sz w:val="18"/>
      <w:szCs w:val="18"/>
    </w:rPr>
  </w:style>
  <w:style w:type="paragraph" w:styleId="19">
    <w:name w:val="header"/>
    <w:basedOn w:val="1"/>
    <w:link w:val="46"/>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toc 1"/>
    <w:basedOn w:val="1"/>
    <w:next w:val="1"/>
    <w:qFormat/>
    <w:uiPriority w:val="39"/>
    <w:pPr>
      <w:tabs>
        <w:tab w:val="right" w:leader="dot" w:pos="8608"/>
      </w:tabs>
      <w:ind w:firstLine="0" w:firstLineChars="0"/>
    </w:pPr>
    <w:rPr>
      <w:b/>
    </w:rPr>
  </w:style>
  <w:style w:type="paragraph" w:styleId="21">
    <w:name w:val="Subtitle"/>
    <w:basedOn w:val="1"/>
    <w:next w:val="1"/>
    <w:link w:val="47"/>
    <w:qFormat/>
    <w:uiPriority w:val="99"/>
    <w:pPr>
      <w:spacing w:line="660" w:lineRule="atLeast"/>
      <w:ind w:firstLine="0" w:firstLineChars="0"/>
      <w:jc w:val="center"/>
    </w:pPr>
    <w:rPr>
      <w:rFonts w:ascii="楷体_GB2312" w:hAnsi="Calibri" w:eastAsia="楷体_GB2312"/>
      <w:b/>
      <w:bCs/>
      <w:kern w:val="28"/>
      <w:sz w:val="36"/>
      <w:szCs w:val="32"/>
    </w:rPr>
  </w:style>
  <w:style w:type="paragraph" w:styleId="22">
    <w:name w:val="footnote text"/>
    <w:basedOn w:val="1"/>
    <w:link w:val="48"/>
    <w:semiHidden/>
    <w:qFormat/>
    <w:uiPriority w:val="99"/>
    <w:pPr>
      <w:snapToGrid w:val="0"/>
      <w:jc w:val="left"/>
    </w:pPr>
    <w:rPr>
      <w:sz w:val="18"/>
      <w:szCs w:val="18"/>
    </w:rPr>
  </w:style>
  <w:style w:type="paragraph" w:styleId="23">
    <w:name w:val="toc 2"/>
    <w:basedOn w:val="1"/>
    <w:next w:val="1"/>
    <w:qFormat/>
    <w:uiPriority w:val="39"/>
    <w:pPr>
      <w:tabs>
        <w:tab w:val="right" w:leader="dot" w:pos="8608"/>
      </w:tabs>
    </w:pPr>
  </w:style>
  <w:style w:type="paragraph" w:styleId="24">
    <w:name w:val="Normal (Web)"/>
    <w:basedOn w:val="1"/>
    <w:unhideWhenUsed/>
    <w:qFormat/>
    <w:lock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5">
    <w:name w:val="Title"/>
    <w:basedOn w:val="1"/>
    <w:next w:val="1"/>
    <w:link w:val="49"/>
    <w:qFormat/>
    <w:uiPriority w:val="99"/>
    <w:pPr>
      <w:spacing w:line="660" w:lineRule="exact"/>
      <w:ind w:firstLine="0" w:firstLineChars="0"/>
      <w:jc w:val="center"/>
    </w:pPr>
    <w:rPr>
      <w:rFonts w:ascii="方正小标宋简体" w:eastAsia="方正小标宋简体"/>
      <w:sz w:val="44"/>
      <w:szCs w:val="44"/>
    </w:rPr>
  </w:style>
  <w:style w:type="paragraph" w:styleId="26">
    <w:name w:val="annotation subject"/>
    <w:basedOn w:val="10"/>
    <w:next w:val="10"/>
    <w:link w:val="42"/>
    <w:semiHidden/>
    <w:qFormat/>
    <w:uiPriority w:val="99"/>
    <w:rPr>
      <w:b/>
      <w:bCs/>
    </w:rPr>
  </w:style>
  <w:style w:type="paragraph" w:styleId="27">
    <w:name w:val="Body Text First Indent"/>
    <w:basedOn w:val="11"/>
    <w:next w:val="1"/>
    <w:unhideWhenUsed/>
    <w:qFormat/>
    <w:locked/>
    <w:uiPriority w:val="99"/>
    <w:pPr>
      <w:spacing w:line="500" w:lineRule="exact"/>
      <w:ind w:firstLine="420"/>
    </w:pPr>
    <w:rPr>
      <w:rFonts w:eastAsia="宋体"/>
      <w:sz w:val="28"/>
      <w:szCs w:val="20"/>
    </w:rPr>
  </w:style>
  <w:style w:type="paragraph" w:styleId="28">
    <w:name w:val="Body Text First Indent 2"/>
    <w:basedOn w:val="13"/>
    <w:unhideWhenUsed/>
    <w:qFormat/>
    <w:locked/>
    <w:uiPriority w:val="99"/>
    <w:pPr>
      <w:spacing w:line="200" w:lineRule="exact"/>
    </w:pPr>
    <w:rPr>
      <w:rFonts w:ascii="??" w:hAnsi="??" w:eastAsia="??" w:cs="宋体"/>
      <w:spacing w:val="-4"/>
      <w:kern w:val="0"/>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locked/>
    <w:uiPriority w:val="22"/>
    <w:rPr>
      <w:b/>
      <w:bCs/>
    </w:rPr>
  </w:style>
  <w:style w:type="character" w:styleId="33">
    <w:name w:val="Emphasis"/>
    <w:qFormat/>
    <w:locked/>
    <w:uiPriority w:val="20"/>
    <w:rPr>
      <w:color w:val="CC0000"/>
      <w:sz w:val="24"/>
      <w:szCs w:val="24"/>
    </w:rPr>
  </w:style>
  <w:style w:type="character" w:styleId="34">
    <w:name w:val="Hyperlink"/>
    <w:basedOn w:val="31"/>
    <w:qFormat/>
    <w:uiPriority w:val="99"/>
    <w:rPr>
      <w:rFonts w:cs="Times New Roman"/>
      <w:color w:val="0563C1"/>
      <w:u w:val="single"/>
    </w:rPr>
  </w:style>
  <w:style w:type="character" w:styleId="35">
    <w:name w:val="annotation reference"/>
    <w:basedOn w:val="31"/>
    <w:semiHidden/>
    <w:qFormat/>
    <w:uiPriority w:val="99"/>
    <w:rPr>
      <w:rFonts w:cs="Times New Roman"/>
      <w:sz w:val="21"/>
      <w:szCs w:val="21"/>
    </w:rPr>
  </w:style>
  <w:style w:type="character" w:styleId="36">
    <w:name w:val="footnote reference"/>
    <w:basedOn w:val="31"/>
    <w:semiHidden/>
    <w:qFormat/>
    <w:uiPriority w:val="99"/>
    <w:rPr>
      <w:rFonts w:cs="Times New Roman"/>
      <w:vertAlign w:val="superscript"/>
    </w:rPr>
  </w:style>
  <w:style w:type="paragraph" w:customStyle="1" w:styleId="37">
    <w:name w:val="自动更正"/>
    <w:qFormat/>
    <w:uiPriority w:val="0"/>
    <w:pPr>
      <w:widowControl w:val="0"/>
      <w:jc w:val="both"/>
    </w:pPr>
    <w:rPr>
      <w:rFonts w:ascii="Calibri" w:hAnsi="Calibri" w:eastAsia="宋体" w:cs="Times New Roman"/>
      <w:kern w:val="2"/>
      <w:sz w:val="21"/>
      <w:lang w:val="en-US" w:eastAsia="zh-CN" w:bidi="ar-SA"/>
    </w:rPr>
  </w:style>
  <w:style w:type="character" w:customStyle="1" w:styleId="38">
    <w:name w:val="标题 1 Char"/>
    <w:basedOn w:val="31"/>
    <w:link w:val="3"/>
    <w:qFormat/>
    <w:locked/>
    <w:uiPriority w:val="99"/>
    <w:rPr>
      <w:rFonts w:ascii="黑体" w:hAnsi="黑体" w:eastAsia="黑体" w:cs="Times New Roman"/>
      <w:b/>
      <w:bCs/>
      <w:kern w:val="44"/>
      <w:sz w:val="32"/>
      <w:szCs w:val="32"/>
    </w:rPr>
  </w:style>
  <w:style w:type="character" w:customStyle="1" w:styleId="39">
    <w:name w:val="标题 2 Char"/>
    <w:basedOn w:val="31"/>
    <w:link w:val="4"/>
    <w:qFormat/>
    <w:locked/>
    <w:uiPriority w:val="99"/>
    <w:rPr>
      <w:rFonts w:ascii="楷体_GB2312" w:hAnsi="Calibri Light" w:eastAsia="楷体_GB2312" w:cs="Times New Roman"/>
      <w:b/>
      <w:bCs/>
      <w:sz w:val="32"/>
      <w:szCs w:val="32"/>
    </w:rPr>
  </w:style>
  <w:style w:type="character" w:customStyle="1" w:styleId="40">
    <w:name w:val="标题 3 Char"/>
    <w:basedOn w:val="31"/>
    <w:link w:val="5"/>
    <w:qFormat/>
    <w:locked/>
    <w:uiPriority w:val="99"/>
    <w:rPr>
      <w:rFonts w:ascii="仿宋_GB2312" w:hAnsi="Times New Roman" w:eastAsia="仿宋_GB2312" w:cs="Times New Roman"/>
      <w:b/>
      <w:bCs/>
      <w:sz w:val="32"/>
      <w:szCs w:val="32"/>
    </w:rPr>
  </w:style>
  <w:style w:type="character" w:customStyle="1" w:styleId="41">
    <w:name w:val="批注文字 Char"/>
    <w:basedOn w:val="31"/>
    <w:link w:val="10"/>
    <w:semiHidden/>
    <w:qFormat/>
    <w:locked/>
    <w:uiPriority w:val="99"/>
    <w:rPr>
      <w:rFonts w:ascii="Times New Roman" w:hAnsi="Times New Roman" w:eastAsia="仿宋_GB2312" w:cs="Times New Roman"/>
      <w:sz w:val="30"/>
      <w:szCs w:val="30"/>
    </w:rPr>
  </w:style>
  <w:style w:type="character" w:customStyle="1" w:styleId="42">
    <w:name w:val="批注主题 Char"/>
    <w:basedOn w:val="41"/>
    <w:link w:val="26"/>
    <w:semiHidden/>
    <w:qFormat/>
    <w:locked/>
    <w:uiPriority w:val="99"/>
    <w:rPr>
      <w:rFonts w:ascii="Times New Roman" w:hAnsi="Times New Roman" w:eastAsia="仿宋_GB2312" w:cs="Times New Roman"/>
      <w:b/>
      <w:bCs/>
      <w:sz w:val="30"/>
      <w:szCs w:val="30"/>
    </w:rPr>
  </w:style>
  <w:style w:type="character" w:customStyle="1" w:styleId="43">
    <w:name w:val="纯文本 Char"/>
    <w:basedOn w:val="31"/>
    <w:link w:val="16"/>
    <w:semiHidden/>
    <w:qFormat/>
    <w:locked/>
    <w:uiPriority w:val="99"/>
    <w:rPr>
      <w:rFonts w:ascii="宋体" w:hAnsi="Courier New" w:cs="Courier New"/>
      <w:sz w:val="21"/>
      <w:szCs w:val="21"/>
    </w:rPr>
  </w:style>
  <w:style w:type="character" w:customStyle="1" w:styleId="44">
    <w:name w:val="批注框文本 Char"/>
    <w:basedOn w:val="31"/>
    <w:link w:val="17"/>
    <w:semiHidden/>
    <w:qFormat/>
    <w:locked/>
    <w:uiPriority w:val="99"/>
    <w:rPr>
      <w:rFonts w:ascii="Times New Roman" w:hAnsi="Times New Roman" w:eastAsia="仿宋_GB2312" w:cs="Times New Roman"/>
      <w:sz w:val="18"/>
      <w:szCs w:val="18"/>
    </w:rPr>
  </w:style>
  <w:style w:type="character" w:customStyle="1" w:styleId="45">
    <w:name w:val="页脚 Char"/>
    <w:basedOn w:val="31"/>
    <w:link w:val="18"/>
    <w:qFormat/>
    <w:locked/>
    <w:uiPriority w:val="99"/>
    <w:rPr>
      <w:rFonts w:ascii="Times New Roman" w:hAnsi="Times New Roman" w:eastAsia="仿宋_GB2312" w:cs="Times New Roman"/>
      <w:sz w:val="18"/>
      <w:szCs w:val="18"/>
    </w:rPr>
  </w:style>
  <w:style w:type="character" w:customStyle="1" w:styleId="46">
    <w:name w:val="页眉 Char"/>
    <w:basedOn w:val="31"/>
    <w:link w:val="19"/>
    <w:qFormat/>
    <w:locked/>
    <w:uiPriority w:val="99"/>
    <w:rPr>
      <w:rFonts w:ascii="Times New Roman" w:hAnsi="Times New Roman" w:eastAsia="仿宋_GB2312" w:cs="Times New Roman"/>
      <w:sz w:val="18"/>
      <w:szCs w:val="18"/>
    </w:rPr>
  </w:style>
  <w:style w:type="character" w:customStyle="1" w:styleId="47">
    <w:name w:val="副标题 Char"/>
    <w:basedOn w:val="31"/>
    <w:link w:val="21"/>
    <w:qFormat/>
    <w:locked/>
    <w:uiPriority w:val="99"/>
    <w:rPr>
      <w:rFonts w:ascii="楷体_GB2312" w:eastAsia="楷体_GB2312" w:cs="Times New Roman"/>
      <w:b/>
      <w:bCs/>
      <w:kern w:val="28"/>
      <w:sz w:val="32"/>
      <w:szCs w:val="32"/>
    </w:rPr>
  </w:style>
  <w:style w:type="character" w:customStyle="1" w:styleId="48">
    <w:name w:val="脚注文本 Char"/>
    <w:basedOn w:val="31"/>
    <w:link w:val="22"/>
    <w:semiHidden/>
    <w:qFormat/>
    <w:locked/>
    <w:uiPriority w:val="99"/>
    <w:rPr>
      <w:rFonts w:ascii="Times New Roman" w:hAnsi="Times New Roman" w:eastAsia="仿宋_GB2312" w:cs="Times New Roman"/>
      <w:sz w:val="18"/>
      <w:szCs w:val="18"/>
    </w:rPr>
  </w:style>
  <w:style w:type="character" w:customStyle="1" w:styleId="49">
    <w:name w:val="标题 Char"/>
    <w:basedOn w:val="31"/>
    <w:link w:val="25"/>
    <w:qFormat/>
    <w:locked/>
    <w:uiPriority w:val="99"/>
    <w:rPr>
      <w:rFonts w:ascii="方正小标宋简体" w:hAnsi="Times New Roman" w:eastAsia="方正小标宋简体" w:cs="Times New Roman"/>
      <w:sz w:val="44"/>
      <w:szCs w:val="44"/>
    </w:rPr>
  </w:style>
  <w:style w:type="paragraph" w:customStyle="1" w:styleId="50">
    <w:name w:val="表格"/>
    <w:basedOn w:val="1"/>
    <w:link w:val="51"/>
    <w:qFormat/>
    <w:uiPriority w:val="99"/>
    <w:pPr>
      <w:spacing w:line="240" w:lineRule="auto"/>
      <w:ind w:firstLine="0" w:firstLineChars="0"/>
    </w:pPr>
    <w:rPr>
      <w:rFonts w:ascii="宋体" w:hAnsi="宋体" w:eastAsia="宋体"/>
      <w:color w:val="000000"/>
      <w:kern w:val="0"/>
      <w:sz w:val="20"/>
      <w:szCs w:val="20"/>
      <w:shd w:val="clear" w:color="auto" w:fill="FFFFFF"/>
    </w:rPr>
  </w:style>
  <w:style w:type="character" w:customStyle="1" w:styleId="51">
    <w:name w:val="表格 Char"/>
    <w:basedOn w:val="31"/>
    <w:link w:val="50"/>
    <w:qFormat/>
    <w:locked/>
    <w:uiPriority w:val="99"/>
    <w:rPr>
      <w:rFonts w:ascii="宋体" w:hAnsi="宋体" w:eastAsia="宋体" w:cs="Times New Roman"/>
      <w:color w:val="000000"/>
      <w:kern w:val="0"/>
      <w:sz w:val="20"/>
      <w:szCs w:val="20"/>
    </w:rPr>
  </w:style>
  <w:style w:type="paragraph" w:styleId="52">
    <w:name w:val="List Paragraph"/>
    <w:basedOn w:val="1"/>
    <w:qFormat/>
    <w:uiPriority w:val="34"/>
    <w:pPr>
      <w:ind w:firstLine="420"/>
    </w:pPr>
  </w:style>
  <w:style w:type="paragraph" w:customStyle="1" w:styleId="53">
    <w:name w:val="所标正文"/>
    <w:basedOn w:val="1"/>
    <w:qFormat/>
    <w:uiPriority w:val="0"/>
    <w:pPr>
      <w:spacing w:line="360" w:lineRule="auto"/>
      <w:ind w:firstLine="200"/>
    </w:pPr>
    <w:rPr>
      <w:rFonts w:ascii="仿宋_GB2312"/>
      <w:szCs w:val="28"/>
    </w:rPr>
  </w:style>
  <w:style w:type="paragraph" w:customStyle="1" w:styleId="54">
    <w:name w:val="3"/>
    <w:basedOn w:val="1"/>
    <w:qFormat/>
    <w:uiPriority w:val="99"/>
    <w:pPr>
      <w:spacing w:line="240" w:lineRule="auto"/>
      <w:ind w:firstLine="0" w:firstLineChars="0"/>
    </w:pPr>
    <w:rPr>
      <w:sz w:val="32"/>
      <w:szCs w:val="32"/>
    </w:rPr>
  </w:style>
  <w:style w:type="paragraph" w:customStyle="1" w:styleId="55">
    <w:name w:val="TOC Heading1"/>
    <w:basedOn w:val="3"/>
    <w:next w:val="1"/>
    <w:qFormat/>
    <w:uiPriority w:val="99"/>
    <w:pPr>
      <w:widowControl/>
      <w:spacing w:before="240" w:line="259" w:lineRule="auto"/>
      <w:jc w:val="left"/>
      <w:outlineLvl w:val="9"/>
    </w:pPr>
    <w:rPr>
      <w:rFonts w:ascii="Calibri Light" w:hAnsi="Calibri Light" w:eastAsia="宋体"/>
      <w:b w:val="0"/>
      <w:bCs w:val="0"/>
      <w:color w:val="2E74B5"/>
      <w:kern w:val="0"/>
    </w:rPr>
  </w:style>
  <w:style w:type="table" w:customStyle="1" w:styleId="56">
    <w:name w:val="网格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Plain Text Char1"/>
    <w:qFormat/>
    <w:locked/>
    <w:uiPriority w:val="99"/>
    <w:rPr>
      <w:rFonts w:ascii="宋体" w:hAnsi="Courier New" w:eastAsia="宋体"/>
      <w:kern w:val="2"/>
      <w:sz w:val="21"/>
      <w:lang w:val="en-US" w:eastAsia="zh-CN"/>
    </w:rPr>
  </w:style>
  <w:style w:type="character" w:customStyle="1" w:styleId="58">
    <w:name w:val="文档结构图 Char"/>
    <w:basedOn w:val="31"/>
    <w:link w:val="8"/>
    <w:semiHidden/>
    <w:qFormat/>
    <w:uiPriority w:val="99"/>
    <w:rPr>
      <w:rFonts w:ascii="宋体" w:hAnsi="Times New Roman"/>
      <w:sz w:val="18"/>
      <w:szCs w:val="18"/>
    </w:rPr>
  </w:style>
  <w:style w:type="paragraph" w:customStyle="1" w:styleId="59">
    <w:name w:val="p0"/>
    <w:qFormat/>
    <w:uiPriority w:val="0"/>
    <w:rPr>
      <w:rFonts w:ascii="Times New Roman" w:hAnsi="Times New Roman" w:eastAsia="宋体" w:cs="Times New Roman"/>
      <w:sz w:val="32"/>
      <w:szCs w:val="32"/>
      <w:lang w:val="en-US" w:eastAsia="zh-CN" w:bidi="ar-SA"/>
    </w:rPr>
  </w:style>
  <w:style w:type="paragraph" w:customStyle="1" w:styleId="60">
    <w:name w:val="Char"/>
    <w:basedOn w:val="1"/>
    <w:qFormat/>
    <w:uiPriority w:val="0"/>
    <w:pPr>
      <w:spacing w:line="240" w:lineRule="auto"/>
      <w:ind w:firstLine="0" w:firstLineChars="0"/>
    </w:pPr>
    <w:rPr>
      <w:rFonts w:eastAsia="宋体"/>
      <w:sz w:val="21"/>
      <w:szCs w:val="20"/>
    </w:rPr>
  </w:style>
  <w:style w:type="paragraph" w:customStyle="1" w:styleId="61">
    <w:name w:val="WPSOffice手动目录 1"/>
    <w:qFormat/>
    <w:uiPriority w:val="0"/>
    <w:rPr>
      <w:rFonts w:ascii="Calibri" w:hAnsi="Calibri" w:eastAsia="宋体" w:cs="Times New Roman"/>
      <w:lang w:val="en-US" w:eastAsia="zh-CN" w:bidi="ar-SA"/>
    </w:rPr>
  </w:style>
  <w:style w:type="paragraph" w:customStyle="1" w:styleId="62">
    <w:name w:val="WPSOffice手动目录 2"/>
    <w:qFormat/>
    <w:uiPriority w:val="0"/>
    <w:pPr>
      <w:ind w:left="200" w:leftChars="200"/>
    </w:pPr>
    <w:rPr>
      <w:rFonts w:ascii="Calibri" w:hAnsi="Calibri" w:eastAsia="宋体" w:cs="Times New Roman"/>
      <w:lang w:val="en-US" w:eastAsia="zh-CN" w:bidi="ar-SA"/>
    </w:rPr>
  </w:style>
  <w:style w:type="paragraph" w:customStyle="1" w:styleId="6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64">
    <w:name w:val="fontstyle01"/>
    <w:basedOn w:val="31"/>
    <w:qFormat/>
    <w:uiPriority w:val="0"/>
    <w:rPr>
      <w:rFonts w:hint="eastAsia" w:ascii="仿宋_GB2312" w:eastAsia="仿宋_GB2312"/>
      <w:color w:val="000000"/>
      <w:sz w:val="32"/>
      <w:szCs w:val="32"/>
    </w:rPr>
  </w:style>
  <w:style w:type="paragraph" w:customStyle="1" w:styleId="65">
    <w:name w:val="Body text|1"/>
    <w:basedOn w:val="1"/>
    <w:qFormat/>
    <w:uiPriority w:val="0"/>
    <w:pPr>
      <w:spacing w:line="396" w:lineRule="auto"/>
      <w:ind w:firstLine="400"/>
    </w:pPr>
    <w:rPr>
      <w:rFonts w:ascii="宋体" w:hAnsi="宋体" w:eastAsia="宋体" w:cs="宋体"/>
      <w:color w:val="545359"/>
      <w:lang w:val="zh-TW" w:eastAsia="zh-TW" w:bidi="zh-TW"/>
    </w:rPr>
  </w:style>
  <w:style w:type="paragraph" w:customStyle="1" w:styleId="66">
    <w:name w:val="正文缩进2"/>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 w:type="character" w:customStyle="1" w:styleId="67">
    <w:name w:val="纲要段标题 字符"/>
    <w:basedOn w:val="68"/>
    <w:link w:val="69"/>
    <w:qFormat/>
    <w:uiPriority w:val="0"/>
    <w:rPr>
      <w:rFonts w:ascii="Times New Roman" w:hAnsi="Times New Roman" w:eastAsia="仿宋_GB2312" w:cstheme="majorBidi"/>
      <w:b/>
      <w:bCs/>
      <w:sz w:val="32"/>
      <w:szCs w:val="32"/>
    </w:rPr>
  </w:style>
  <w:style w:type="character" w:customStyle="1" w:styleId="68">
    <w:name w:val="引文目录标题 Char"/>
    <w:basedOn w:val="31"/>
    <w:link w:val="9"/>
    <w:semiHidden/>
    <w:qFormat/>
    <w:uiPriority w:val="99"/>
    <w:rPr>
      <w:rFonts w:asciiTheme="majorHAnsi" w:hAnsiTheme="majorHAnsi" w:eastAsiaTheme="majorEastAsia" w:cstheme="majorBidi"/>
      <w:sz w:val="24"/>
      <w:szCs w:val="24"/>
    </w:rPr>
  </w:style>
  <w:style w:type="paragraph" w:customStyle="1" w:styleId="69">
    <w:name w:val="纲要段标题"/>
    <w:basedOn w:val="70"/>
    <w:next w:val="1"/>
    <w:link w:val="67"/>
    <w:qFormat/>
    <w:uiPriority w:val="0"/>
    <w:pPr>
      <w:spacing w:line="600" w:lineRule="exact"/>
      <w:ind w:firstLine="561"/>
    </w:pPr>
    <w:rPr>
      <w:rFonts w:ascii="Times New Roman" w:hAnsi="Times New Roman" w:eastAsia="仿宋_GB2312"/>
      <w:b/>
      <w:bCs/>
      <w:sz w:val="32"/>
      <w:szCs w:val="32"/>
    </w:rPr>
  </w:style>
  <w:style w:type="paragraph" w:styleId="7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列出段落1"/>
    <w:basedOn w:val="1"/>
    <w:qFormat/>
    <w:uiPriority w:val="34"/>
  </w:style>
  <w:style w:type="paragraph" w:customStyle="1" w:styleId="72">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3">
    <w:name w:val="font11"/>
    <w:basedOn w:val="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5240</Words>
  <Characters>29874</Characters>
  <Lines>248</Lines>
  <Paragraphs>70</Paragraphs>
  <TotalTime>308</TotalTime>
  <ScaleCrop>false</ScaleCrop>
  <LinksUpToDate>false</LinksUpToDate>
  <CharactersWithSpaces>35044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2021-12-04T23:55:00Z</dcterms:created>
  <dc:creator>wzy</dc:creator>
  <cp:lastModifiedBy>县经信局</cp:lastModifiedBy>
  <cp:lastPrinted>2018-08-25T18:02:00Z</cp:lastPrinted>
  <dcterms:modified xsi:type="dcterms:W3CDTF">2022-01-04T03:25:52Z</dcterms:modified>
  <dc:title>图灵互联网研究院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EBB38844B31E4F1DADF51CFAE8F417A2</vt:lpwstr>
  </property>
</Properties>
</file>